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765"/>
        <w:gridCol w:w="1765"/>
        <w:gridCol w:w="1766"/>
        <w:gridCol w:w="936"/>
        <w:gridCol w:w="830"/>
        <w:gridCol w:w="1766"/>
      </w:tblGrid>
      <w:tr w:rsidR="00130DD0" w:rsidRPr="00C079D2" w14:paraId="785DB009" w14:textId="77777777" w:rsidTr="6CE85171">
        <w:tc>
          <w:tcPr>
            <w:tcW w:w="8828" w:type="dxa"/>
            <w:gridSpan w:val="6"/>
            <w:shd w:val="clear" w:color="auto" w:fill="44546A" w:themeFill="text2"/>
          </w:tcPr>
          <w:p w14:paraId="68A184B7"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DATOS DE IDENTIFICACIÓN</w:t>
            </w:r>
          </w:p>
        </w:tc>
      </w:tr>
      <w:tr w:rsidR="00130DD0" w:rsidRPr="00C079D2" w14:paraId="2F72243F" w14:textId="77777777" w:rsidTr="6CE85171">
        <w:tc>
          <w:tcPr>
            <w:tcW w:w="3530" w:type="dxa"/>
            <w:gridSpan w:val="2"/>
          </w:tcPr>
          <w:p w14:paraId="1C3506CE" w14:textId="77777777" w:rsidR="00130DD0" w:rsidRPr="00C079D2" w:rsidRDefault="00130DD0">
            <w:pPr>
              <w:contextualSpacing/>
              <w:rPr>
                <w:rFonts w:ascii="Arial" w:hAnsi="Arial" w:cs="Arial"/>
                <w:sz w:val="22"/>
                <w:szCs w:val="22"/>
              </w:rPr>
            </w:pPr>
            <w:r w:rsidRPr="00C079D2">
              <w:rPr>
                <w:rFonts w:ascii="Arial" w:hAnsi="Arial" w:cs="Arial"/>
                <w:sz w:val="22"/>
                <w:szCs w:val="22"/>
              </w:rPr>
              <w:t>Nombre de la asignatura</w:t>
            </w:r>
          </w:p>
        </w:tc>
        <w:tc>
          <w:tcPr>
            <w:tcW w:w="5298" w:type="dxa"/>
            <w:gridSpan w:val="4"/>
          </w:tcPr>
          <w:p w14:paraId="432DCB84" w14:textId="77777777" w:rsidR="00130DD0" w:rsidRPr="0056383A" w:rsidRDefault="006D0374" w:rsidP="0056383A">
            <w:pPr>
              <w:widowControl w:val="0"/>
              <w:autoSpaceDE w:val="0"/>
              <w:autoSpaceDN w:val="0"/>
              <w:adjustRightInd w:val="0"/>
              <w:rPr>
                <w:rFonts w:cs="Arial"/>
              </w:rPr>
            </w:pPr>
            <w:r w:rsidRPr="2A89CFA6">
              <w:rPr>
                <w:rFonts w:ascii="Arial" w:eastAsia="Arial" w:hAnsi="Arial" w:cs="Arial"/>
              </w:rPr>
              <w:t xml:space="preserve">Evaluación sensorial </w:t>
            </w:r>
            <w:r w:rsidR="009D5344" w:rsidRPr="2A89CFA6">
              <w:rPr>
                <w:rFonts w:ascii="Arial" w:eastAsia="Arial" w:hAnsi="Arial" w:cs="Arial"/>
              </w:rPr>
              <w:t>de los alimentos</w:t>
            </w:r>
          </w:p>
        </w:tc>
      </w:tr>
      <w:tr w:rsidR="00130DD0" w:rsidRPr="00C079D2" w14:paraId="5D84BAF2" w14:textId="77777777" w:rsidTr="6CE85171">
        <w:tc>
          <w:tcPr>
            <w:tcW w:w="3530" w:type="dxa"/>
            <w:gridSpan w:val="2"/>
          </w:tcPr>
          <w:p w14:paraId="374D0F05" w14:textId="333F67EB" w:rsidR="00130DD0" w:rsidRPr="00C079D2" w:rsidRDefault="00094256">
            <w:pPr>
              <w:contextualSpacing/>
              <w:rPr>
                <w:rFonts w:ascii="Arial" w:hAnsi="Arial" w:cs="Arial"/>
                <w:sz w:val="22"/>
                <w:szCs w:val="22"/>
              </w:rPr>
            </w:pPr>
            <w:r>
              <w:rPr>
                <w:rFonts w:ascii="Arial" w:hAnsi="Arial" w:cs="Arial"/>
                <w:sz w:val="22"/>
                <w:szCs w:val="22"/>
              </w:rPr>
              <w:t>Campus</w:t>
            </w:r>
          </w:p>
        </w:tc>
        <w:tc>
          <w:tcPr>
            <w:tcW w:w="5298" w:type="dxa"/>
            <w:gridSpan w:val="4"/>
          </w:tcPr>
          <w:p w14:paraId="490D6CC6" w14:textId="0C7BCC35" w:rsidR="00130DD0" w:rsidRPr="00C079D2" w:rsidRDefault="00094256">
            <w:pPr>
              <w:contextualSpacing/>
              <w:rPr>
                <w:rFonts w:ascii="Arial" w:hAnsi="Arial" w:cs="Arial"/>
                <w:sz w:val="22"/>
                <w:szCs w:val="22"/>
              </w:rPr>
            </w:pPr>
            <w:r>
              <w:rPr>
                <w:rFonts w:ascii="Arial" w:hAnsi="Arial" w:cs="Arial"/>
                <w:sz w:val="22"/>
                <w:szCs w:val="22"/>
              </w:rPr>
              <w:t xml:space="preserve">Hermosillo </w:t>
            </w:r>
          </w:p>
        </w:tc>
      </w:tr>
      <w:tr w:rsidR="00130DD0" w:rsidRPr="00C079D2" w14:paraId="7BCD66F8" w14:textId="77777777" w:rsidTr="6CE85171">
        <w:tc>
          <w:tcPr>
            <w:tcW w:w="3530" w:type="dxa"/>
            <w:gridSpan w:val="2"/>
          </w:tcPr>
          <w:p w14:paraId="0C115DC1" w14:textId="707A9C17" w:rsidR="00130DD0" w:rsidRPr="00C079D2" w:rsidRDefault="004A5DE8">
            <w:pPr>
              <w:contextualSpacing/>
              <w:rPr>
                <w:rFonts w:ascii="Arial" w:hAnsi="Arial" w:cs="Arial"/>
                <w:sz w:val="22"/>
                <w:szCs w:val="22"/>
              </w:rPr>
            </w:pPr>
            <w:r>
              <w:rPr>
                <w:rFonts w:ascii="Arial" w:hAnsi="Arial" w:cs="Arial"/>
                <w:sz w:val="22"/>
                <w:szCs w:val="22"/>
              </w:rPr>
              <w:t>Facultad Interdisciplinaria</w:t>
            </w:r>
          </w:p>
        </w:tc>
        <w:tc>
          <w:tcPr>
            <w:tcW w:w="5298" w:type="dxa"/>
            <w:gridSpan w:val="4"/>
          </w:tcPr>
          <w:p w14:paraId="17C81DA2" w14:textId="64CC83CD" w:rsidR="00130DD0" w:rsidRPr="00C079D2" w:rsidRDefault="0056383A">
            <w:pPr>
              <w:contextualSpacing/>
              <w:rPr>
                <w:rFonts w:ascii="Arial" w:hAnsi="Arial" w:cs="Arial"/>
                <w:sz w:val="22"/>
                <w:szCs w:val="22"/>
              </w:rPr>
            </w:pPr>
            <w:r>
              <w:rPr>
                <w:rFonts w:ascii="Arial" w:hAnsi="Arial" w:cs="Arial"/>
                <w:sz w:val="22"/>
                <w:szCs w:val="22"/>
              </w:rPr>
              <w:t>División de Ciencias Biológicas y de Salud</w:t>
            </w:r>
          </w:p>
        </w:tc>
      </w:tr>
      <w:tr w:rsidR="00130DD0" w:rsidRPr="00C079D2" w14:paraId="19794076" w14:textId="77777777" w:rsidTr="6CE85171">
        <w:tc>
          <w:tcPr>
            <w:tcW w:w="3530" w:type="dxa"/>
            <w:gridSpan w:val="2"/>
          </w:tcPr>
          <w:p w14:paraId="48BBFE59" w14:textId="77777777" w:rsidR="00130DD0" w:rsidRPr="00C079D2" w:rsidRDefault="00130DD0">
            <w:pPr>
              <w:contextualSpacing/>
              <w:rPr>
                <w:rFonts w:ascii="Arial" w:hAnsi="Arial" w:cs="Arial"/>
                <w:sz w:val="22"/>
                <w:szCs w:val="22"/>
              </w:rPr>
            </w:pPr>
            <w:r w:rsidRPr="00C079D2">
              <w:rPr>
                <w:rFonts w:ascii="Arial" w:hAnsi="Arial" w:cs="Arial"/>
                <w:sz w:val="22"/>
                <w:szCs w:val="22"/>
              </w:rPr>
              <w:t>Departamento</w:t>
            </w:r>
          </w:p>
        </w:tc>
        <w:tc>
          <w:tcPr>
            <w:tcW w:w="5298" w:type="dxa"/>
            <w:gridSpan w:val="4"/>
          </w:tcPr>
          <w:p w14:paraId="15113C45" w14:textId="77777777" w:rsidR="00130DD0" w:rsidRPr="00C079D2" w:rsidRDefault="0056383A">
            <w:pPr>
              <w:contextualSpacing/>
              <w:rPr>
                <w:rFonts w:ascii="Arial" w:hAnsi="Arial" w:cs="Arial"/>
                <w:sz w:val="22"/>
                <w:szCs w:val="22"/>
              </w:rPr>
            </w:pPr>
            <w:r>
              <w:rPr>
                <w:rFonts w:ascii="Arial" w:hAnsi="Arial" w:cs="Arial"/>
                <w:sz w:val="22"/>
                <w:szCs w:val="22"/>
              </w:rPr>
              <w:t>Departamento de Investigación y Posgrado en Alimentos</w:t>
            </w:r>
          </w:p>
        </w:tc>
      </w:tr>
      <w:tr w:rsidR="00130DD0" w:rsidRPr="00C079D2" w14:paraId="53CB3FE7" w14:textId="77777777" w:rsidTr="6CE85171">
        <w:tc>
          <w:tcPr>
            <w:tcW w:w="3530" w:type="dxa"/>
            <w:gridSpan w:val="2"/>
          </w:tcPr>
          <w:p w14:paraId="2373955E" w14:textId="77777777" w:rsidR="00130DD0" w:rsidRPr="00C079D2" w:rsidRDefault="00130DD0">
            <w:pPr>
              <w:contextualSpacing/>
              <w:rPr>
                <w:rFonts w:ascii="Arial" w:hAnsi="Arial" w:cs="Arial"/>
                <w:sz w:val="22"/>
                <w:szCs w:val="22"/>
              </w:rPr>
            </w:pPr>
            <w:r w:rsidRPr="00C079D2">
              <w:rPr>
                <w:rFonts w:ascii="Arial" w:hAnsi="Arial" w:cs="Arial"/>
                <w:sz w:val="22"/>
                <w:szCs w:val="22"/>
              </w:rPr>
              <w:t>Programa</w:t>
            </w:r>
          </w:p>
        </w:tc>
        <w:tc>
          <w:tcPr>
            <w:tcW w:w="5298" w:type="dxa"/>
            <w:gridSpan w:val="4"/>
          </w:tcPr>
          <w:p w14:paraId="1305B0D7" w14:textId="7F6972D8" w:rsidR="00130DD0" w:rsidRPr="00C079D2" w:rsidRDefault="69066093" w:rsidP="2A89CFA6">
            <w:pPr>
              <w:contextualSpacing/>
              <w:rPr>
                <w:rFonts w:ascii="Arial" w:eastAsia="Arial" w:hAnsi="Arial" w:cs="Arial"/>
                <w:sz w:val="22"/>
                <w:szCs w:val="22"/>
              </w:rPr>
            </w:pPr>
            <w:r w:rsidRPr="2A89CFA6">
              <w:rPr>
                <w:rFonts w:ascii="Arial" w:eastAsia="Arial" w:hAnsi="Arial" w:cs="Arial"/>
                <w:sz w:val="22"/>
                <w:szCs w:val="22"/>
              </w:rPr>
              <w:t>Doctorado en Ciencias de los Alimentos</w:t>
            </w:r>
          </w:p>
        </w:tc>
      </w:tr>
      <w:tr w:rsidR="00130DD0" w:rsidRPr="00C079D2" w14:paraId="7AA3E9E5" w14:textId="77777777" w:rsidTr="6CE85171">
        <w:tc>
          <w:tcPr>
            <w:tcW w:w="3530" w:type="dxa"/>
            <w:gridSpan w:val="2"/>
          </w:tcPr>
          <w:p w14:paraId="17D6FA34"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Carácter</w:t>
            </w:r>
          </w:p>
        </w:tc>
        <w:tc>
          <w:tcPr>
            <w:tcW w:w="2702" w:type="dxa"/>
            <w:gridSpan w:val="2"/>
          </w:tcPr>
          <w:p w14:paraId="4F3A0591" w14:textId="77777777" w:rsidR="00130DD0" w:rsidRPr="00C079D2" w:rsidRDefault="00130DD0" w:rsidP="006D0374">
            <w:pPr>
              <w:contextualSpacing/>
              <w:rPr>
                <w:rFonts w:ascii="Arial" w:hAnsi="Arial" w:cs="Arial"/>
                <w:sz w:val="22"/>
                <w:szCs w:val="22"/>
              </w:rPr>
            </w:pPr>
            <w:r w:rsidRPr="00C079D2">
              <w:rPr>
                <w:rFonts w:ascii="Arial" w:hAnsi="Arial" w:cs="Arial"/>
                <w:sz w:val="22"/>
                <w:szCs w:val="22"/>
              </w:rPr>
              <w:t>Obligatorio (</w:t>
            </w:r>
            <w:r w:rsidR="006D0374">
              <w:rPr>
                <w:rFonts w:ascii="Arial" w:hAnsi="Arial" w:cs="Arial"/>
                <w:sz w:val="22"/>
                <w:szCs w:val="22"/>
              </w:rPr>
              <w:t xml:space="preserve"> </w:t>
            </w:r>
            <w:r w:rsidRPr="00C079D2">
              <w:rPr>
                <w:rFonts w:ascii="Arial" w:hAnsi="Arial" w:cs="Arial"/>
                <w:sz w:val="22"/>
                <w:szCs w:val="22"/>
              </w:rPr>
              <w:t>)</w:t>
            </w:r>
          </w:p>
        </w:tc>
        <w:tc>
          <w:tcPr>
            <w:tcW w:w="2596" w:type="dxa"/>
            <w:gridSpan w:val="2"/>
          </w:tcPr>
          <w:p w14:paraId="7662F327" w14:textId="415523AA" w:rsidR="00130DD0" w:rsidRPr="00C079D2" w:rsidRDefault="4C9582A7" w:rsidP="47B3A4DB">
            <w:pPr>
              <w:contextualSpacing/>
              <w:rPr>
                <w:rFonts w:ascii="Arial" w:hAnsi="Arial" w:cs="Arial"/>
                <w:sz w:val="22"/>
                <w:szCs w:val="22"/>
              </w:rPr>
            </w:pPr>
            <w:r w:rsidRPr="2A89CFA6">
              <w:rPr>
                <w:rFonts w:ascii="Arial" w:eastAsia="Arial" w:hAnsi="Arial" w:cs="Arial"/>
                <w:color w:val="000000" w:themeColor="text1"/>
                <w:sz w:val="22"/>
                <w:szCs w:val="22"/>
              </w:rPr>
              <w:t xml:space="preserve">Optativa </w:t>
            </w:r>
            <w:r w:rsidR="00130DD0" w:rsidRPr="2A89CFA6">
              <w:rPr>
                <w:rFonts w:ascii="Arial" w:hAnsi="Arial" w:cs="Arial"/>
                <w:sz w:val="22"/>
                <w:szCs w:val="22"/>
              </w:rPr>
              <w:t xml:space="preserve">( </w:t>
            </w:r>
            <w:r w:rsidR="006D0374" w:rsidRPr="2A89CFA6">
              <w:rPr>
                <w:rFonts w:ascii="Arial" w:hAnsi="Arial" w:cs="Arial"/>
                <w:sz w:val="22"/>
                <w:szCs w:val="22"/>
              </w:rPr>
              <w:t>X</w:t>
            </w:r>
            <w:r w:rsidR="00130DD0" w:rsidRPr="2A89CFA6">
              <w:rPr>
                <w:rFonts w:ascii="Arial" w:hAnsi="Arial" w:cs="Arial"/>
                <w:sz w:val="22"/>
                <w:szCs w:val="22"/>
              </w:rPr>
              <w:t xml:space="preserve">  )</w:t>
            </w:r>
          </w:p>
        </w:tc>
      </w:tr>
      <w:tr w:rsidR="00130DD0" w:rsidRPr="00C079D2" w14:paraId="7A5F810D" w14:textId="77777777" w:rsidTr="6CE85171">
        <w:tc>
          <w:tcPr>
            <w:tcW w:w="1765" w:type="dxa"/>
          </w:tcPr>
          <w:p w14:paraId="58B7FBCA"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teoría</w:t>
            </w:r>
          </w:p>
        </w:tc>
        <w:tc>
          <w:tcPr>
            <w:tcW w:w="1765" w:type="dxa"/>
          </w:tcPr>
          <w:p w14:paraId="5FCD5EC4" w14:textId="77777777" w:rsidR="00130DD0" w:rsidRPr="00C079D2" w:rsidRDefault="0026522F" w:rsidP="00130DD0">
            <w:pPr>
              <w:contextualSpacing/>
              <w:rPr>
                <w:rFonts w:ascii="Arial" w:hAnsi="Arial" w:cs="Arial"/>
                <w:sz w:val="22"/>
                <w:szCs w:val="22"/>
              </w:rPr>
            </w:pPr>
            <w:r>
              <w:rPr>
                <w:rFonts w:ascii="Arial" w:hAnsi="Arial" w:cs="Arial"/>
                <w:sz w:val="22"/>
                <w:szCs w:val="22"/>
              </w:rPr>
              <w:t>3</w:t>
            </w:r>
          </w:p>
        </w:tc>
        <w:tc>
          <w:tcPr>
            <w:tcW w:w="1766" w:type="dxa"/>
          </w:tcPr>
          <w:p w14:paraId="349C06C2"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práctica</w:t>
            </w:r>
          </w:p>
        </w:tc>
        <w:tc>
          <w:tcPr>
            <w:tcW w:w="3532" w:type="dxa"/>
            <w:gridSpan w:val="3"/>
          </w:tcPr>
          <w:p w14:paraId="672A6659" w14:textId="09398F0C" w:rsidR="00130DD0" w:rsidRPr="00C079D2" w:rsidRDefault="1BBDCF4E" w:rsidP="00130DD0">
            <w:pPr>
              <w:contextualSpacing/>
              <w:rPr>
                <w:rFonts w:ascii="Arial" w:hAnsi="Arial" w:cs="Arial"/>
                <w:sz w:val="22"/>
                <w:szCs w:val="22"/>
              </w:rPr>
            </w:pPr>
            <w:r w:rsidRPr="4D52870A">
              <w:rPr>
                <w:rFonts w:ascii="Arial" w:hAnsi="Arial" w:cs="Arial"/>
                <w:sz w:val="22"/>
                <w:szCs w:val="22"/>
              </w:rPr>
              <w:t>0</w:t>
            </w:r>
          </w:p>
        </w:tc>
      </w:tr>
      <w:tr w:rsidR="00130DD0" w:rsidRPr="00C079D2" w14:paraId="7855AA0E" w14:textId="77777777" w:rsidTr="6CE85171">
        <w:tc>
          <w:tcPr>
            <w:tcW w:w="3530" w:type="dxa"/>
            <w:gridSpan w:val="2"/>
          </w:tcPr>
          <w:p w14:paraId="170BF952" w14:textId="77777777" w:rsidR="00130DD0" w:rsidRPr="00C079D2" w:rsidRDefault="00130DD0" w:rsidP="0026522F">
            <w:pPr>
              <w:contextualSpacing/>
              <w:rPr>
                <w:rFonts w:ascii="Arial" w:hAnsi="Arial" w:cs="Arial"/>
                <w:sz w:val="22"/>
                <w:szCs w:val="22"/>
              </w:rPr>
            </w:pPr>
            <w:r w:rsidRPr="00C079D2">
              <w:rPr>
                <w:rFonts w:ascii="Arial" w:hAnsi="Arial" w:cs="Arial"/>
                <w:sz w:val="22"/>
                <w:szCs w:val="22"/>
              </w:rPr>
              <w:t>Valor en créditos</w:t>
            </w:r>
            <w:r w:rsidR="0056383A">
              <w:rPr>
                <w:rFonts w:ascii="Arial" w:hAnsi="Arial" w:cs="Arial"/>
                <w:sz w:val="22"/>
                <w:szCs w:val="22"/>
              </w:rPr>
              <w:t xml:space="preserve"> </w:t>
            </w:r>
          </w:p>
        </w:tc>
        <w:tc>
          <w:tcPr>
            <w:tcW w:w="5298" w:type="dxa"/>
            <w:gridSpan w:val="4"/>
          </w:tcPr>
          <w:p w14:paraId="29B4EA11" w14:textId="77777777" w:rsidR="00130DD0" w:rsidRPr="00C079D2" w:rsidRDefault="0026522F" w:rsidP="00130DD0">
            <w:pPr>
              <w:contextualSpacing/>
              <w:rPr>
                <w:rFonts w:ascii="Arial" w:hAnsi="Arial" w:cs="Arial"/>
                <w:sz w:val="22"/>
                <w:szCs w:val="22"/>
              </w:rPr>
            </w:pPr>
            <w:r>
              <w:rPr>
                <w:rFonts w:ascii="Arial" w:hAnsi="Arial" w:cs="Arial"/>
                <w:sz w:val="22"/>
                <w:szCs w:val="22"/>
              </w:rPr>
              <w:t>6</w:t>
            </w:r>
          </w:p>
        </w:tc>
      </w:tr>
      <w:tr w:rsidR="00130DD0" w:rsidRPr="00C079D2" w14:paraId="65587A75" w14:textId="77777777" w:rsidTr="6CE85171">
        <w:tc>
          <w:tcPr>
            <w:tcW w:w="8828" w:type="dxa"/>
            <w:gridSpan w:val="6"/>
            <w:shd w:val="clear" w:color="auto" w:fill="44546A" w:themeFill="text2"/>
          </w:tcPr>
          <w:p w14:paraId="0F83160C" w14:textId="77777777" w:rsidR="00130DD0" w:rsidRPr="00C079D2" w:rsidRDefault="00130DD0" w:rsidP="00130DD0">
            <w:pPr>
              <w:contextualSpacing/>
              <w:rPr>
                <w:rFonts w:ascii="Arial" w:hAnsi="Arial" w:cs="Arial"/>
                <w:sz w:val="22"/>
                <w:szCs w:val="22"/>
              </w:rPr>
            </w:pPr>
            <w:r w:rsidRPr="00C079D2">
              <w:rPr>
                <w:rFonts w:ascii="Arial" w:hAnsi="Arial" w:cs="Arial"/>
                <w:color w:val="FFFFFF" w:themeColor="background1"/>
                <w:sz w:val="22"/>
                <w:szCs w:val="22"/>
              </w:rPr>
              <w:t>OBJETIVO GENERAL</w:t>
            </w:r>
          </w:p>
        </w:tc>
      </w:tr>
      <w:tr w:rsidR="00130DD0" w:rsidRPr="00C079D2" w14:paraId="7A820597" w14:textId="77777777" w:rsidTr="6CE85171">
        <w:tc>
          <w:tcPr>
            <w:tcW w:w="8828" w:type="dxa"/>
            <w:gridSpan w:val="6"/>
          </w:tcPr>
          <w:p w14:paraId="1ADE0FCE" w14:textId="77777777" w:rsidR="00130DD0" w:rsidRPr="00C079D2" w:rsidRDefault="006D0374">
            <w:pPr>
              <w:contextualSpacing/>
              <w:rPr>
                <w:rFonts w:ascii="Arial" w:hAnsi="Arial" w:cs="Arial"/>
                <w:sz w:val="22"/>
                <w:szCs w:val="22"/>
              </w:rPr>
            </w:pPr>
            <w:r w:rsidRPr="0026522F">
              <w:rPr>
                <w:rFonts w:ascii="Arial" w:hAnsi="Arial" w:cs="Arial"/>
                <w:sz w:val="21"/>
                <w:szCs w:val="21"/>
                <w:shd w:val="clear" w:color="auto" w:fill="FFFFFF"/>
              </w:rPr>
              <w:t>Los participantes del curso al terminar, dado el tipo alimento y su procesamiento, podrán diseñar y evaluar atributos sensoriales para establecer el comportamiento aceptación o rechazo, llegando hasta el tiempo de terminación de la vida útil o calidad comestible</w:t>
            </w:r>
            <w:r>
              <w:rPr>
                <w:rFonts w:ascii="Arial" w:hAnsi="Arial" w:cs="Arial"/>
                <w:color w:val="777777"/>
                <w:sz w:val="21"/>
                <w:szCs w:val="21"/>
                <w:shd w:val="clear" w:color="auto" w:fill="FFFFFF"/>
              </w:rPr>
              <w:t>.</w:t>
            </w:r>
          </w:p>
        </w:tc>
      </w:tr>
      <w:tr w:rsidR="00130DD0" w:rsidRPr="00C079D2" w14:paraId="2BBFE1CD" w14:textId="77777777" w:rsidTr="6CE85171">
        <w:tc>
          <w:tcPr>
            <w:tcW w:w="8828" w:type="dxa"/>
            <w:gridSpan w:val="6"/>
            <w:shd w:val="clear" w:color="auto" w:fill="44546A" w:themeFill="text2"/>
          </w:tcPr>
          <w:p w14:paraId="34D1C337"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OBJETIVOS ESPECÍFICOS</w:t>
            </w:r>
          </w:p>
        </w:tc>
      </w:tr>
      <w:tr w:rsidR="00130DD0" w:rsidRPr="00C079D2" w14:paraId="6A5B0E93" w14:textId="77777777" w:rsidTr="6CE85171">
        <w:tc>
          <w:tcPr>
            <w:tcW w:w="8828" w:type="dxa"/>
            <w:gridSpan w:val="6"/>
          </w:tcPr>
          <w:p w14:paraId="7399FA2F" w14:textId="77777777" w:rsidR="00130DD0" w:rsidRPr="009D5344" w:rsidRDefault="000E47A6">
            <w:pPr>
              <w:contextualSpacing/>
              <w:rPr>
                <w:rFonts w:ascii="Arial" w:hAnsi="Arial" w:cs="Arial"/>
                <w:sz w:val="22"/>
                <w:szCs w:val="22"/>
                <w:lang w:val="es-ES"/>
              </w:rPr>
            </w:pPr>
            <w:r>
              <w:rPr>
                <w:rFonts w:ascii="Arial" w:hAnsi="Arial" w:cs="Arial"/>
                <w:color w:val="777777"/>
                <w:sz w:val="21"/>
                <w:szCs w:val="21"/>
                <w:shd w:val="clear" w:color="auto" w:fill="FFFFFF"/>
              </w:rPr>
              <w:t> </w:t>
            </w:r>
            <w:r w:rsidRPr="0026522F">
              <w:rPr>
                <w:rFonts w:ascii="Arial" w:hAnsi="Arial" w:cs="Arial"/>
                <w:sz w:val="21"/>
                <w:szCs w:val="21"/>
                <w:shd w:val="clear" w:color="auto" w:fill="FFFFFF"/>
              </w:rPr>
              <w:t>Dado el alimento y su procesamiento, el participante, conocerá y aplicará los principios básicos de la evaluación sensorial asociados con la vida útil de alimentos, llegando a establecer los modelos principales de deterioro e implicaciones para el consumidor.</w:t>
            </w:r>
          </w:p>
        </w:tc>
      </w:tr>
      <w:tr w:rsidR="00C079D2" w:rsidRPr="00C079D2" w14:paraId="69837551" w14:textId="77777777" w:rsidTr="6CE85171">
        <w:tc>
          <w:tcPr>
            <w:tcW w:w="8828" w:type="dxa"/>
            <w:gridSpan w:val="6"/>
            <w:shd w:val="clear" w:color="auto" w:fill="44546A" w:themeFill="text2"/>
          </w:tcPr>
          <w:p w14:paraId="6301D958"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CONTENIDO SINTÉTICO</w:t>
            </w:r>
          </w:p>
        </w:tc>
      </w:tr>
      <w:tr w:rsidR="00C079D2" w:rsidRPr="00C079D2" w14:paraId="0A37501D" w14:textId="77777777" w:rsidTr="6CE85171">
        <w:tc>
          <w:tcPr>
            <w:tcW w:w="8828" w:type="dxa"/>
            <w:gridSpan w:val="6"/>
          </w:tcPr>
          <w:p w14:paraId="5DAB6C7B" w14:textId="77777777" w:rsidR="00C079D2" w:rsidRPr="00C079D2" w:rsidRDefault="00C079D2">
            <w:pPr>
              <w:contextualSpacing/>
              <w:rPr>
                <w:rFonts w:ascii="Arial" w:hAnsi="Arial" w:cs="Arial"/>
                <w:i/>
                <w:iCs/>
                <w:sz w:val="22"/>
                <w:szCs w:val="22"/>
              </w:rPr>
            </w:pPr>
          </w:p>
        </w:tc>
      </w:tr>
      <w:tr w:rsidR="00C079D2" w:rsidRPr="00C079D2" w14:paraId="19148FAE" w14:textId="77777777" w:rsidTr="6CE85171">
        <w:tc>
          <w:tcPr>
            <w:tcW w:w="1765" w:type="dxa"/>
            <w:shd w:val="clear" w:color="auto" w:fill="DBDBDB" w:themeFill="accent3" w:themeFillTint="66"/>
          </w:tcPr>
          <w:p w14:paraId="403969B2"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Orden</w:t>
            </w:r>
          </w:p>
        </w:tc>
        <w:tc>
          <w:tcPr>
            <w:tcW w:w="7063" w:type="dxa"/>
            <w:gridSpan w:val="5"/>
            <w:shd w:val="clear" w:color="auto" w:fill="DBDBDB" w:themeFill="accent3" w:themeFillTint="66"/>
          </w:tcPr>
          <w:p w14:paraId="00376AAF"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Tema</w:t>
            </w:r>
          </w:p>
        </w:tc>
      </w:tr>
      <w:tr w:rsidR="0026522F" w:rsidRPr="0026522F" w14:paraId="0DE8BD50" w14:textId="77777777" w:rsidTr="6CE85171">
        <w:tc>
          <w:tcPr>
            <w:tcW w:w="1765" w:type="dxa"/>
          </w:tcPr>
          <w:p w14:paraId="0135CBF0" w14:textId="77777777" w:rsidR="00C079D2" w:rsidRPr="0026522F" w:rsidRDefault="0056383A">
            <w:pPr>
              <w:contextualSpacing/>
              <w:rPr>
                <w:rFonts w:ascii="Arial" w:hAnsi="Arial" w:cs="Arial"/>
                <w:sz w:val="22"/>
                <w:szCs w:val="22"/>
              </w:rPr>
            </w:pPr>
            <w:r w:rsidRPr="0026522F">
              <w:rPr>
                <w:rFonts w:ascii="Arial" w:hAnsi="Arial" w:cs="Arial"/>
                <w:sz w:val="22"/>
                <w:szCs w:val="22"/>
              </w:rPr>
              <w:t>1.</w:t>
            </w:r>
          </w:p>
        </w:tc>
        <w:tc>
          <w:tcPr>
            <w:tcW w:w="7063" w:type="dxa"/>
            <w:gridSpan w:val="5"/>
          </w:tcPr>
          <w:p w14:paraId="427706F8" w14:textId="77777777" w:rsidR="000E47A6" w:rsidRPr="000E47A6" w:rsidRDefault="000E47A6" w:rsidP="000E47A6">
            <w:p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La ciencia de evaluación sensorial.</w:t>
            </w:r>
          </w:p>
          <w:p w14:paraId="1F5DB2DE" w14:textId="77777777" w:rsidR="000E47A6" w:rsidRPr="000E47A6" w:rsidRDefault="000E47A6" w:rsidP="000E47A6">
            <w:pPr>
              <w:numPr>
                <w:ilvl w:val="0"/>
                <w:numId w:val="13"/>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Definiciones e interacción con calidad y expectativa comercial.</w:t>
            </w:r>
          </w:p>
          <w:p w14:paraId="784723F0" w14:textId="77777777" w:rsidR="000E47A6" w:rsidRPr="000E47A6" w:rsidRDefault="000E47A6" w:rsidP="000E47A6">
            <w:pPr>
              <w:numPr>
                <w:ilvl w:val="0"/>
                <w:numId w:val="13"/>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Percepción sensorial de los alimentos.</w:t>
            </w:r>
          </w:p>
          <w:p w14:paraId="1818188B" w14:textId="77777777" w:rsidR="000E47A6" w:rsidRPr="000E47A6" w:rsidRDefault="000E47A6" w:rsidP="000E47A6">
            <w:pPr>
              <w:numPr>
                <w:ilvl w:val="0"/>
                <w:numId w:val="13"/>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Percepción y evaluación del color, percepción y evaluación de olor.</w:t>
            </w:r>
          </w:p>
          <w:p w14:paraId="3D210DBA" w14:textId="77777777" w:rsidR="000E47A6" w:rsidRPr="000E47A6" w:rsidRDefault="000E47A6" w:rsidP="000E47A6">
            <w:pPr>
              <w:numPr>
                <w:ilvl w:val="0"/>
                <w:numId w:val="13"/>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Percepción y evaluación del sabor.</w:t>
            </w:r>
          </w:p>
          <w:p w14:paraId="28793A8B" w14:textId="77777777" w:rsidR="000E47A6" w:rsidRPr="000E47A6" w:rsidRDefault="000E47A6" w:rsidP="000E47A6">
            <w:pPr>
              <w:numPr>
                <w:ilvl w:val="0"/>
                <w:numId w:val="13"/>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Percepción y evaluación de la textura.</w:t>
            </w:r>
          </w:p>
          <w:p w14:paraId="75B5F002" w14:textId="77777777" w:rsidR="000E47A6" w:rsidRPr="000E47A6" w:rsidRDefault="000E47A6" w:rsidP="000E47A6">
            <w:pPr>
              <w:numPr>
                <w:ilvl w:val="0"/>
                <w:numId w:val="13"/>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Integración del proceso de percepción sensorial.</w:t>
            </w:r>
          </w:p>
          <w:p w14:paraId="02EB378F" w14:textId="77777777" w:rsidR="00C079D2" w:rsidRPr="0026522F" w:rsidRDefault="00C079D2" w:rsidP="009D5344">
            <w:pPr>
              <w:widowControl w:val="0"/>
              <w:autoSpaceDE w:val="0"/>
              <w:autoSpaceDN w:val="0"/>
              <w:adjustRightInd w:val="0"/>
              <w:ind w:left="720"/>
              <w:jc w:val="both"/>
              <w:rPr>
                <w:rFonts w:ascii="Arial" w:hAnsi="Arial" w:cs="Arial"/>
                <w:sz w:val="22"/>
                <w:szCs w:val="22"/>
                <w:lang w:val="es-ES"/>
              </w:rPr>
            </w:pPr>
          </w:p>
        </w:tc>
      </w:tr>
      <w:tr w:rsidR="0026522F" w:rsidRPr="0026522F" w14:paraId="69CB8AB5" w14:textId="77777777" w:rsidTr="6CE85171">
        <w:tc>
          <w:tcPr>
            <w:tcW w:w="1765" w:type="dxa"/>
          </w:tcPr>
          <w:p w14:paraId="47886996" w14:textId="77777777" w:rsidR="00C079D2" w:rsidRPr="0026522F" w:rsidRDefault="0056383A">
            <w:pPr>
              <w:contextualSpacing/>
              <w:rPr>
                <w:rFonts w:ascii="Arial" w:hAnsi="Arial" w:cs="Arial"/>
                <w:sz w:val="22"/>
                <w:szCs w:val="22"/>
              </w:rPr>
            </w:pPr>
            <w:r w:rsidRPr="0026522F">
              <w:rPr>
                <w:rFonts w:ascii="Arial" w:hAnsi="Arial" w:cs="Arial"/>
                <w:sz w:val="22"/>
                <w:szCs w:val="22"/>
              </w:rPr>
              <w:t>2.</w:t>
            </w:r>
          </w:p>
        </w:tc>
        <w:tc>
          <w:tcPr>
            <w:tcW w:w="7063" w:type="dxa"/>
            <w:gridSpan w:val="5"/>
          </w:tcPr>
          <w:p w14:paraId="7BC32DD0" w14:textId="77777777" w:rsidR="000E47A6" w:rsidRPr="000E47A6" w:rsidRDefault="000E47A6" w:rsidP="000E47A6">
            <w:p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Química y tecnología que determina y modifica los parámetros sensoriales.</w:t>
            </w:r>
          </w:p>
          <w:p w14:paraId="35C4A61C" w14:textId="77777777" w:rsidR="000E47A6" w:rsidRPr="000E47A6" w:rsidRDefault="000E47A6" w:rsidP="000E47A6">
            <w:pPr>
              <w:numPr>
                <w:ilvl w:val="0"/>
                <w:numId w:val="14"/>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Modificaciones de la percepción de los colores ocasionados por el procesamiento de alimentos.</w:t>
            </w:r>
          </w:p>
          <w:p w14:paraId="7B5A37E1" w14:textId="77777777" w:rsidR="000E47A6" w:rsidRPr="000E47A6" w:rsidRDefault="000E47A6" w:rsidP="000E47A6">
            <w:pPr>
              <w:numPr>
                <w:ilvl w:val="0"/>
                <w:numId w:val="14"/>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Modificaciones de la percepción de los olores ocasionados por el procesamiento de alimentos.</w:t>
            </w:r>
          </w:p>
          <w:p w14:paraId="06AE99D7" w14:textId="77777777" w:rsidR="000E47A6" w:rsidRPr="000E47A6" w:rsidRDefault="000E47A6" w:rsidP="000E47A6">
            <w:pPr>
              <w:numPr>
                <w:ilvl w:val="0"/>
                <w:numId w:val="14"/>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Modificaciones de la percepción de los sabores ocasionados por el procesamiento de alimentos.</w:t>
            </w:r>
          </w:p>
          <w:p w14:paraId="36FF3FDD" w14:textId="77777777" w:rsidR="000E47A6" w:rsidRPr="000E47A6" w:rsidRDefault="000E47A6" w:rsidP="000E47A6">
            <w:pPr>
              <w:numPr>
                <w:ilvl w:val="0"/>
                <w:numId w:val="14"/>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lastRenderedPageBreak/>
              <w:t> - Modificaciones de la percepción de la textura ocasionadas por el procesamiento de alimentos.</w:t>
            </w:r>
          </w:p>
          <w:p w14:paraId="6A05A809" w14:textId="77777777" w:rsidR="00C079D2" w:rsidRPr="0026522F" w:rsidRDefault="00C079D2" w:rsidP="00C079D2">
            <w:pPr>
              <w:contextualSpacing/>
              <w:jc w:val="center"/>
              <w:rPr>
                <w:rFonts w:ascii="Arial" w:hAnsi="Arial" w:cs="Arial"/>
                <w:sz w:val="22"/>
                <w:szCs w:val="22"/>
                <w:lang w:val="es-ES"/>
              </w:rPr>
            </w:pPr>
          </w:p>
        </w:tc>
      </w:tr>
      <w:tr w:rsidR="0026522F" w:rsidRPr="0026522F" w14:paraId="03B3B9DE" w14:textId="77777777" w:rsidTr="6CE85171">
        <w:tc>
          <w:tcPr>
            <w:tcW w:w="1765" w:type="dxa"/>
          </w:tcPr>
          <w:p w14:paraId="1F75A9DD" w14:textId="77777777" w:rsidR="00C079D2" w:rsidRPr="0026522F" w:rsidRDefault="0056383A">
            <w:pPr>
              <w:contextualSpacing/>
              <w:rPr>
                <w:rFonts w:ascii="Arial" w:hAnsi="Arial" w:cs="Arial"/>
                <w:sz w:val="22"/>
                <w:szCs w:val="22"/>
              </w:rPr>
            </w:pPr>
            <w:r w:rsidRPr="0026522F">
              <w:rPr>
                <w:rFonts w:ascii="Arial" w:hAnsi="Arial" w:cs="Arial"/>
                <w:sz w:val="22"/>
                <w:szCs w:val="22"/>
              </w:rPr>
              <w:lastRenderedPageBreak/>
              <w:t>3.</w:t>
            </w:r>
          </w:p>
        </w:tc>
        <w:tc>
          <w:tcPr>
            <w:tcW w:w="7063" w:type="dxa"/>
            <w:gridSpan w:val="5"/>
          </w:tcPr>
          <w:p w14:paraId="6AB933C6" w14:textId="77777777" w:rsidR="000E47A6" w:rsidRPr="000E47A6" w:rsidRDefault="000E47A6" w:rsidP="000E47A6">
            <w:p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Planeación de la evaluación sensorial en el laboratorio, cocina industrial o vía pública.</w:t>
            </w:r>
          </w:p>
          <w:p w14:paraId="113021E3" w14:textId="77777777" w:rsidR="000E47A6" w:rsidRPr="000E47A6" w:rsidRDefault="000E47A6" w:rsidP="000E47A6">
            <w:pPr>
              <w:numPr>
                <w:ilvl w:val="0"/>
                <w:numId w:val="15"/>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Infraestructura física necesaria para la evaluación sensorial.</w:t>
            </w:r>
          </w:p>
          <w:p w14:paraId="1C5E0AF9" w14:textId="77777777" w:rsidR="000E47A6" w:rsidRPr="000E47A6" w:rsidRDefault="000E47A6" w:rsidP="000E47A6">
            <w:pPr>
              <w:numPr>
                <w:ilvl w:val="0"/>
                <w:numId w:val="15"/>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Estrategias para la planeación y ejecución de los análisis sensoriales.</w:t>
            </w:r>
          </w:p>
          <w:p w14:paraId="1E13A124" w14:textId="77777777" w:rsidR="000E47A6" w:rsidRPr="000E47A6" w:rsidRDefault="000E47A6" w:rsidP="000E47A6">
            <w:pPr>
              <w:numPr>
                <w:ilvl w:val="0"/>
                <w:numId w:val="15"/>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Selección y formación de los diferentes tipos de jueces.</w:t>
            </w:r>
          </w:p>
          <w:p w14:paraId="674F1B88" w14:textId="77777777" w:rsidR="000E47A6" w:rsidRPr="000E47A6" w:rsidRDefault="000E47A6" w:rsidP="000E47A6">
            <w:pPr>
              <w:numPr>
                <w:ilvl w:val="0"/>
                <w:numId w:val="15"/>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Seguimiento del desempeño de los jueces.</w:t>
            </w:r>
          </w:p>
          <w:p w14:paraId="5A39BBE3" w14:textId="77777777" w:rsidR="00C079D2" w:rsidRPr="0026522F" w:rsidRDefault="00C079D2" w:rsidP="00C079D2">
            <w:pPr>
              <w:contextualSpacing/>
              <w:jc w:val="center"/>
              <w:rPr>
                <w:rFonts w:ascii="Arial" w:hAnsi="Arial" w:cs="Arial"/>
                <w:sz w:val="22"/>
                <w:szCs w:val="22"/>
                <w:lang w:val="es-ES"/>
              </w:rPr>
            </w:pPr>
          </w:p>
        </w:tc>
      </w:tr>
      <w:tr w:rsidR="0026522F" w:rsidRPr="0026522F" w14:paraId="561F0EE4" w14:textId="77777777" w:rsidTr="6CE85171">
        <w:tc>
          <w:tcPr>
            <w:tcW w:w="1765" w:type="dxa"/>
          </w:tcPr>
          <w:p w14:paraId="0F9ABB3F" w14:textId="77777777" w:rsidR="00C079D2" w:rsidRPr="0026522F" w:rsidRDefault="0056383A">
            <w:pPr>
              <w:contextualSpacing/>
              <w:rPr>
                <w:rFonts w:ascii="Arial" w:hAnsi="Arial" w:cs="Arial"/>
                <w:sz w:val="22"/>
                <w:szCs w:val="22"/>
              </w:rPr>
            </w:pPr>
            <w:r w:rsidRPr="0026522F">
              <w:rPr>
                <w:rFonts w:ascii="Arial" w:hAnsi="Arial" w:cs="Arial"/>
                <w:sz w:val="22"/>
                <w:szCs w:val="22"/>
              </w:rPr>
              <w:t>4.</w:t>
            </w:r>
          </w:p>
        </w:tc>
        <w:tc>
          <w:tcPr>
            <w:tcW w:w="7063" w:type="dxa"/>
            <w:gridSpan w:val="5"/>
          </w:tcPr>
          <w:p w14:paraId="099AE0B7" w14:textId="77777777" w:rsidR="000E47A6" w:rsidRPr="000E47A6" w:rsidRDefault="000E47A6" w:rsidP="000E47A6">
            <w:p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Metodología de la evaluación sensorial.</w:t>
            </w:r>
          </w:p>
          <w:p w14:paraId="7D93E894" w14:textId="77777777" w:rsidR="000E47A6" w:rsidRPr="000E47A6" w:rsidRDefault="000E47A6" w:rsidP="000E47A6">
            <w:pPr>
              <w:numPr>
                <w:ilvl w:val="0"/>
                <w:numId w:val="16"/>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Teorías en la evaluación de las respuestas sensoriales.</w:t>
            </w:r>
          </w:p>
          <w:p w14:paraId="44B26A03" w14:textId="77777777" w:rsidR="000E47A6" w:rsidRPr="000E47A6" w:rsidRDefault="000E47A6" w:rsidP="000E47A6">
            <w:pPr>
              <w:numPr>
                <w:ilvl w:val="0"/>
                <w:numId w:val="16"/>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Diseño de escalas sensoriales y metodología de la colección de datos.</w:t>
            </w:r>
          </w:p>
          <w:p w14:paraId="48F3BF01" w14:textId="77777777" w:rsidR="000E47A6" w:rsidRPr="000E47A6" w:rsidRDefault="000E47A6" w:rsidP="000E47A6">
            <w:pPr>
              <w:numPr>
                <w:ilvl w:val="0"/>
                <w:numId w:val="16"/>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Diseño de experimentos y análisis de datos.</w:t>
            </w:r>
          </w:p>
          <w:p w14:paraId="5F693280" w14:textId="77777777" w:rsidR="000E47A6" w:rsidRPr="000E47A6" w:rsidRDefault="000E47A6" w:rsidP="000E47A6">
            <w:pPr>
              <w:numPr>
                <w:ilvl w:val="0"/>
                <w:numId w:val="16"/>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Construcción de tablas y gráficas para explicar los resultados sensoriales.</w:t>
            </w:r>
          </w:p>
          <w:p w14:paraId="41C8F396" w14:textId="77777777" w:rsidR="009D5344" w:rsidRPr="0026522F" w:rsidRDefault="009D5344" w:rsidP="009D5344">
            <w:pPr>
              <w:pStyle w:val="Default"/>
              <w:rPr>
                <w:color w:val="auto"/>
                <w:sz w:val="23"/>
                <w:szCs w:val="23"/>
              </w:rPr>
            </w:pPr>
          </w:p>
          <w:p w14:paraId="72A3D3EC" w14:textId="77777777" w:rsidR="00C079D2" w:rsidRPr="0026522F" w:rsidRDefault="00C079D2" w:rsidP="00C079D2">
            <w:pPr>
              <w:contextualSpacing/>
              <w:jc w:val="center"/>
              <w:rPr>
                <w:rFonts w:ascii="Arial" w:hAnsi="Arial" w:cs="Arial"/>
                <w:sz w:val="22"/>
                <w:szCs w:val="22"/>
                <w:lang w:val="es-ES"/>
              </w:rPr>
            </w:pPr>
          </w:p>
        </w:tc>
      </w:tr>
      <w:tr w:rsidR="0026522F" w:rsidRPr="0026522F" w14:paraId="54AC2214" w14:textId="77777777" w:rsidTr="6CE85171">
        <w:tc>
          <w:tcPr>
            <w:tcW w:w="1765" w:type="dxa"/>
          </w:tcPr>
          <w:p w14:paraId="56C72689" w14:textId="77777777" w:rsidR="00C079D2" w:rsidRPr="0026522F" w:rsidRDefault="0056383A">
            <w:pPr>
              <w:contextualSpacing/>
              <w:rPr>
                <w:rFonts w:ascii="Arial" w:hAnsi="Arial" w:cs="Arial"/>
                <w:sz w:val="22"/>
                <w:szCs w:val="22"/>
              </w:rPr>
            </w:pPr>
            <w:r w:rsidRPr="0026522F">
              <w:rPr>
                <w:rFonts w:ascii="Arial" w:hAnsi="Arial" w:cs="Arial"/>
                <w:sz w:val="22"/>
                <w:szCs w:val="22"/>
              </w:rPr>
              <w:t>5.</w:t>
            </w:r>
          </w:p>
        </w:tc>
        <w:tc>
          <w:tcPr>
            <w:tcW w:w="7063" w:type="dxa"/>
            <w:gridSpan w:val="5"/>
          </w:tcPr>
          <w:p w14:paraId="374CE5E0" w14:textId="77777777" w:rsidR="000E47A6" w:rsidRPr="000E47A6" w:rsidRDefault="000E47A6" w:rsidP="000E47A6">
            <w:p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Aplicaciones en el análisis.</w:t>
            </w:r>
          </w:p>
          <w:p w14:paraId="571DE8AA" w14:textId="77777777" w:rsidR="000E47A6" w:rsidRPr="000E47A6" w:rsidRDefault="000E47A6" w:rsidP="000E47A6">
            <w:pPr>
              <w:numPr>
                <w:ilvl w:val="0"/>
                <w:numId w:val="17"/>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Identificar las necesidades, planteamiento y diseño experimental, incluyendo secuencia de ejecución.</w:t>
            </w:r>
          </w:p>
          <w:p w14:paraId="7B21AE13" w14:textId="77777777" w:rsidR="000E47A6" w:rsidRPr="000E47A6" w:rsidRDefault="000E47A6" w:rsidP="000E47A6">
            <w:pPr>
              <w:numPr>
                <w:ilvl w:val="0"/>
                <w:numId w:val="17"/>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Diseñar las hojas de evaluación para los diferentes objetivos de análisis en los atributos de sabor, color, olor y textura.</w:t>
            </w:r>
          </w:p>
          <w:p w14:paraId="2F99E00C" w14:textId="77777777" w:rsidR="000E47A6" w:rsidRPr="000E47A6" w:rsidRDefault="000E47A6" w:rsidP="000E47A6">
            <w:pPr>
              <w:numPr>
                <w:ilvl w:val="0"/>
                <w:numId w:val="17"/>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Diseño de experimentos y análisis de datos.</w:t>
            </w:r>
          </w:p>
          <w:p w14:paraId="4028B7ED" w14:textId="77777777" w:rsidR="000E47A6" w:rsidRPr="000E47A6" w:rsidRDefault="000E47A6" w:rsidP="000E47A6">
            <w:pPr>
              <w:numPr>
                <w:ilvl w:val="0"/>
                <w:numId w:val="17"/>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Estrategias de correlación e interpretación entre análisis fisicoquímicos y sensoriales.</w:t>
            </w:r>
          </w:p>
          <w:p w14:paraId="071D1317" w14:textId="77777777" w:rsidR="000E47A6" w:rsidRPr="000E47A6" w:rsidRDefault="000E47A6" w:rsidP="000E47A6">
            <w:pPr>
              <w:numPr>
                <w:ilvl w:val="0"/>
                <w:numId w:val="17"/>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Estrategias de optimización del proceso y eliminación de errores típicos en cada tipo de experimento.</w:t>
            </w:r>
          </w:p>
          <w:p w14:paraId="0D0B940D" w14:textId="77777777" w:rsidR="00C079D2" w:rsidRPr="0026522F" w:rsidRDefault="00C079D2" w:rsidP="00C079D2">
            <w:pPr>
              <w:contextualSpacing/>
              <w:jc w:val="center"/>
              <w:rPr>
                <w:rFonts w:ascii="Arial" w:hAnsi="Arial" w:cs="Arial"/>
                <w:sz w:val="22"/>
                <w:szCs w:val="22"/>
                <w:lang w:val="es-ES"/>
              </w:rPr>
            </w:pPr>
          </w:p>
        </w:tc>
      </w:tr>
      <w:tr w:rsidR="0026522F" w:rsidRPr="0026522F" w14:paraId="2111B2EA" w14:textId="77777777" w:rsidTr="6CE85171">
        <w:tc>
          <w:tcPr>
            <w:tcW w:w="1765" w:type="dxa"/>
          </w:tcPr>
          <w:p w14:paraId="4BC6DBBF" w14:textId="77777777" w:rsidR="00C079D2" w:rsidRPr="0026522F" w:rsidRDefault="0056383A">
            <w:pPr>
              <w:contextualSpacing/>
              <w:rPr>
                <w:rFonts w:ascii="Arial" w:hAnsi="Arial" w:cs="Arial"/>
                <w:sz w:val="22"/>
                <w:szCs w:val="22"/>
              </w:rPr>
            </w:pPr>
            <w:r w:rsidRPr="0026522F">
              <w:rPr>
                <w:rFonts w:ascii="Arial" w:hAnsi="Arial" w:cs="Arial"/>
                <w:sz w:val="22"/>
                <w:szCs w:val="22"/>
              </w:rPr>
              <w:lastRenderedPageBreak/>
              <w:t>6.</w:t>
            </w:r>
          </w:p>
        </w:tc>
        <w:tc>
          <w:tcPr>
            <w:tcW w:w="7063" w:type="dxa"/>
            <w:gridSpan w:val="5"/>
          </w:tcPr>
          <w:p w14:paraId="3C6A0917" w14:textId="77777777" w:rsidR="000E47A6" w:rsidRPr="000E47A6" w:rsidRDefault="000E47A6" w:rsidP="000E47A6">
            <w:p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Conservación y alteraciones de la vida útil de los alimentos frescos y procesados.</w:t>
            </w:r>
          </w:p>
          <w:p w14:paraId="193A62F6" w14:textId="77777777" w:rsidR="000E47A6" w:rsidRPr="000E47A6" w:rsidRDefault="000E47A6" w:rsidP="000E47A6">
            <w:pPr>
              <w:numPr>
                <w:ilvl w:val="0"/>
                <w:numId w:val="18"/>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Definición, fundamentos y clasificación de la estabilidad de alimentos frescos y procesados.</w:t>
            </w:r>
          </w:p>
          <w:p w14:paraId="0DA265ED" w14:textId="77777777" w:rsidR="000E47A6" w:rsidRPr="000E47A6" w:rsidRDefault="000E47A6" w:rsidP="000E47A6">
            <w:pPr>
              <w:numPr>
                <w:ilvl w:val="0"/>
                <w:numId w:val="18"/>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Relación entre vida útil con la calidad sensorial y seguridad de alimentos.</w:t>
            </w:r>
          </w:p>
          <w:p w14:paraId="4B9BE931" w14:textId="77777777" w:rsidR="000E47A6" w:rsidRPr="000E47A6" w:rsidRDefault="000E47A6" w:rsidP="000E47A6">
            <w:pPr>
              <w:numPr>
                <w:ilvl w:val="0"/>
                <w:numId w:val="18"/>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Factores que rigen la vida útil y factores para extenderla.</w:t>
            </w:r>
          </w:p>
          <w:p w14:paraId="0FD24826" w14:textId="77777777" w:rsidR="000E47A6" w:rsidRPr="000E47A6" w:rsidRDefault="000E47A6" w:rsidP="000E47A6">
            <w:pPr>
              <w:numPr>
                <w:ilvl w:val="0"/>
                <w:numId w:val="18"/>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Metodología para establecer y evaluar la estabilidad de alimentos.</w:t>
            </w:r>
          </w:p>
          <w:p w14:paraId="29D6B04F" w14:textId="77777777" w:rsidR="009D5344" w:rsidRPr="0026522F" w:rsidRDefault="009D5344" w:rsidP="009D5344">
            <w:pPr>
              <w:pStyle w:val="Default"/>
              <w:rPr>
                <w:color w:val="auto"/>
                <w:sz w:val="23"/>
                <w:szCs w:val="23"/>
              </w:rPr>
            </w:pPr>
            <w:r w:rsidRPr="0026522F">
              <w:rPr>
                <w:color w:val="auto"/>
                <w:sz w:val="23"/>
                <w:szCs w:val="23"/>
              </w:rPr>
              <w:t xml:space="preserve"> </w:t>
            </w:r>
          </w:p>
          <w:p w14:paraId="0E27B00A" w14:textId="77777777" w:rsidR="00C079D2" w:rsidRPr="0026522F" w:rsidRDefault="00C079D2" w:rsidP="00C079D2">
            <w:pPr>
              <w:contextualSpacing/>
              <w:jc w:val="center"/>
              <w:rPr>
                <w:rFonts w:ascii="Arial" w:hAnsi="Arial" w:cs="Arial"/>
                <w:sz w:val="22"/>
                <w:szCs w:val="22"/>
              </w:rPr>
            </w:pPr>
          </w:p>
        </w:tc>
      </w:tr>
      <w:tr w:rsidR="0026522F" w:rsidRPr="0026522F" w14:paraId="5377A0DE" w14:textId="77777777" w:rsidTr="6CE85171">
        <w:tc>
          <w:tcPr>
            <w:tcW w:w="1765" w:type="dxa"/>
          </w:tcPr>
          <w:p w14:paraId="45CB103B" w14:textId="77777777" w:rsidR="00C079D2" w:rsidRPr="0026522F" w:rsidRDefault="0056383A">
            <w:pPr>
              <w:contextualSpacing/>
              <w:rPr>
                <w:rFonts w:ascii="Arial" w:hAnsi="Arial" w:cs="Arial"/>
                <w:sz w:val="22"/>
                <w:szCs w:val="22"/>
              </w:rPr>
            </w:pPr>
            <w:r w:rsidRPr="0026522F">
              <w:rPr>
                <w:rFonts w:ascii="Arial" w:hAnsi="Arial" w:cs="Arial"/>
                <w:sz w:val="22"/>
                <w:szCs w:val="22"/>
              </w:rPr>
              <w:t>7.</w:t>
            </w:r>
          </w:p>
        </w:tc>
        <w:tc>
          <w:tcPr>
            <w:tcW w:w="7063" w:type="dxa"/>
            <w:gridSpan w:val="5"/>
          </w:tcPr>
          <w:p w14:paraId="4CBDF4D2" w14:textId="77777777" w:rsidR="000E47A6" w:rsidRPr="000E47A6" w:rsidRDefault="000E47A6" w:rsidP="000E47A6">
            <w:p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Diseño experimental en la vida útil.</w:t>
            </w:r>
          </w:p>
          <w:p w14:paraId="6B96F966" w14:textId="77777777" w:rsidR="000E47A6" w:rsidRPr="000E47A6" w:rsidRDefault="000E47A6" w:rsidP="000E47A6">
            <w:pPr>
              <w:numPr>
                <w:ilvl w:val="0"/>
                <w:numId w:val="19"/>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Conceptos y metodología de evaluación sensorial en la estabilidad de alimentos.</w:t>
            </w:r>
          </w:p>
          <w:p w14:paraId="489EAC5F" w14:textId="77777777" w:rsidR="000E47A6" w:rsidRPr="000E47A6" w:rsidRDefault="000E47A6" w:rsidP="000E47A6">
            <w:pPr>
              <w:numPr>
                <w:ilvl w:val="0"/>
                <w:numId w:val="19"/>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Descripción de los diseños de experimentos y estrategias de ejecución evitando los errores típicos.</w:t>
            </w:r>
          </w:p>
          <w:p w14:paraId="20D11B64" w14:textId="77777777" w:rsidR="000E47A6" w:rsidRPr="000E47A6" w:rsidRDefault="000E47A6" w:rsidP="000E47A6">
            <w:pPr>
              <w:numPr>
                <w:ilvl w:val="0"/>
                <w:numId w:val="19"/>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Análisis estadísticos de los datos experimentales para obtener, tablas y gráficas.</w:t>
            </w:r>
          </w:p>
          <w:p w14:paraId="3D787ADC" w14:textId="77777777" w:rsidR="000E47A6" w:rsidRPr="000E47A6" w:rsidRDefault="000E47A6" w:rsidP="000E47A6">
            <w:pPr>
              <w:numPr>
                <w:ilvl w:val="0"/>
                <w:numId w:val="19"/>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xml:space="preserve"> - Ecuaciones que modelen la vida útil </w:t>
            </w:r>
            <w:proofErr w:type="gramStart"/>
            <w:r w:rsidRPr="000E47A6">
              <w:rPr>
                <w:rFonts w:ascii="Arial" w:eastAsia="Times New Roman" w:hAnsi="Arial" w:cs="Arial"/>
                <w:sz w:val="21"/>
                <w:szCs w:val="21"/>
                <w:lang w:val="es-ES" w:eastAsia="es-ES"/>
              </w:rPr>
              <w:t>de los alimento</w:t>
            </w:r>
            <w:proofErr w:type="gramEnd"/>
            <w:r w:rsidRPr="000E47A6">
              <w:rPr>
                <w:rFonts w:ascii="Arial" w:eastAsia="Times New Roman" w:hAnsi="Arial" w:cs="Arial"/>
                <w:sz w:val="21"/>
                <w:szCs w:val="21"/>
                <w:lang w:val="es-ES" w:eastAsia="es-ES"/>
              </w:rPr>
              <w:t>.</w:t>
            </w:r>
          </w:p>
          <w:p w14:paraId="60061E4C" w14:textId="77777777" w:rsidR="00C079D2" w:rsidRPr="0026522F" w:rsidRDefault="00C079D2" w:rsidP="00C079D2">
            <w:pPr>
              <w:contextualSpacing/>
              <w:jc w:val="center"/>
              <w:rPr>
                <w:rFonts w:ascii="Arial" w:hAnsi="Arial" w:cs="Arial"/>
                <w:sz w:val="22"/>
                <w:szCs w:val="22"/>
                <w:lang w:val="es-ES"/>
              </w:rPr>
            </w:pPr>
          </w:p>
        </w:tc>
      </w:tr>
      <w:tr w:rsidR="0026522F" w:rsidRPr="0026522F" w14:paraId="4B759B59" w14:textId="77777777" w:rsidTr="6CE85171">
        <w:tc>
          <w:tcPr>
            <w:tcW w:w="1765" w:type="dxa"/>
          </w:tcPr>
          <w:p w14:paraId="3DF6D3BA" w14:textId="77777777" w:rsidR="00C079D2" w:rsidRPr="0026522F" w:rsidRDefault="0056383A">
            <w:pPr>
              <w:contextualSpacing/>
              <w:rPr>
                <w:rFonts w:ascii="Arial" w:hAnsi="Arial" w:cs="Arial"/>
                <w:sz w:val="22"/>
                <w:szCs w:val="22"/>
              </w:rPr>
            </w:pPr>
            <w:r w:rsidRPr="0026522F">
              <w:rPr>
                <w:rFonts w:ascii="Arial" w:hAnsi="Arial" w:cs="Arial"/>
                <w:sz w:val="22"/>
                <w:szCs w:val="22"/>
              </w:rPr>
              <w:t>8.</w:t>
            </w:r>
          </w:p>
        </w:tc>
        <w:tc>
          <w:tcPr>
            <w:tcW w:w="7063" w:type="dxa"/>
            <w:gridSpan w:val="5"/>
          </w:tcPr>
          <w:p w14:paraId="1053B18A" w14:textId="77777777" w:rsidR="000E47A6" w:rsidRPr="000E47A6" w:rsidRDefault="000E47A6" w:rsidP="000E47A6">
            <w:p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Aplicaciones del análisis sensorial en la vida útil.</w:t>
            </w:r>
          </w:p>
          <w:p w14:paraId="70539513" w14:textId="77777777" w:rsidR="000E47A6" w:rsidRPr="000E47A6" w:rsidRDefault="000E47A6" w:rsidP="000E47A6">
            <w:pPr>
              <w:numPr>
                <w:ilvl w:val="0"/>
                <w:numId w:val="20"/>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Taller “diseñar un experimento de vida útil específicamente para evaluar textura en cereales y productos marinos”.</w:t>
            </w:r>
          </w:p>
          <w:p w14:paraId="76849898" w14:textId="77777777" w:rsidR="000E47A6" w:rsidRPr="000E47A6" w:rsidRDefault="000E47A6" w:rsidP="000E47A6">
            <w:pPr>
              <w:numPr>
                <w:ilvl w:val="0"/>
                <w:numId w:val="20"/>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Taller “diseñar un experimento de vida útil específicamente para evaluar olor en cereales y productos marinos”.</w:t>
            </w:r>
          </w:p>
          <w:p w14:paraId="218F93A4" w14:textId="77777777" w:rsidR="000E47A6" w:rsidRPr="000E47A6" w:rsidRDefault="000E47A6" w:rsidP="000E47A6">
            <w:pPr>
              <w:numPr>
                <w:ilvl w:val="0"/>
                <w:numId w:val="20"/>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Taller “diseñar un experimento de vida útil específicamente para evaluar sabor y olor en cereales y productos marinos”.</w:t>
            </w:r>
          </w:p>
          <w:p w14:paraId="253E1A5C" w14:textId="77777777" w:rsidR="000E47A6" w:rsidRPr="000E47A6" w:rsidRDefault="000E47A6" w:rsidP="000E47A6">
            <w:pPr>
              <w:numPr>
                <w:ilvl w:val="0"/>
                <w:numId w:val="20"/>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 Taller “diseñar un experimento de vida útil combinando parámetros fisicoquímicos y sensoriales para los atributos de sabor y olor en cereales y productos marinos”.</w:t>
            </w:r>
          </w:p>
          <w:p w14:paraId="44EAFD9C" w14:textId="77777777" w:rsidR="009D5344" w:rsidRPr="0026522F" w:rsidRDefault="009D5344" w:rsidP="009D5344">
            <w:pPr>
              <w:pStyle w:val="Default"/>
              <w:rPr>
                <w:color w:val="auto"/>
                <w:sz w:val="23"/>
                <w:szCs w:val="23"/>
              </w:rPr>
            </w:pPr>
          </w:p>
          <w:p w14:paraId="4B94D5A5" w14:textId="77777777" w:rsidR="00C079D2" w:rsidRPr="0026522F" w:rsidRDefault="00C079D2" w:rsidP="00C079D2">
            <w:pPr>
              <w:contextualSpacing/>
              <w:jc w:val="center"/>
              <w:rPr>
                <w:rFonts w:ascii="Arial" w:hAnsi="Arial" w:cs="Arial"/>
                <w:sz w:val="22"/>
                <w:szCs w:val="22"/>
              </w:rPr>
            </w:pPr>
          </w:p>
        </w:tc>
      </w:tr>
      <w:tr w:rsidR="0026522F" w:rsidRPr="0026522F" w14:paraId="59EE7457" w14:textId="77777777" w:rsidTr="6CE85171">
        <w:tc>
          <w:tcPr>
            <w:tcW w:w="8828" w:type="dxa"/>
            <w:gridSpan w:val="6"/>
            <w:shd w:val="clear" w:color="auto" w:fill="44546A" w:themeFill="text2"/>
          </w:tcPr>
          <w:p w14:paraId="1B5CF489" w14:textId="77777777" w:rsidR="00C079D2" w:rsidRPr="0026522F" w:rsidRDefault="00C079D2">
            <w:pPr>
              <w:contextualSpacing/>
              <w:rPr>
                <w:rFonts w:ascii="Arial" w:hAnsi="Arial" w:cs="Arial"/>
                <w:sz w:val="22"/>
                <w:szCs w:val="22"/>
              </w:rPr>
            </w:pPr>
            <w:r w:rsidRPr="0026522F">
              <w:rPr>
                <w:rFonts w:ascii="Arial" w:hAnsi="Arial" w:cs="Arial"/>
                <w:sz w:val="22"/>
                <w:szCs w:val="22"/>
              </w:rPr>
              <w:lastRenderedPageBreak/>
              <w:t>MODALIDADES O FORMAS DE CONDUCCIÓN DE LOS PROCESOS DE ENSEÑANZA-APRENDIZAJE</w:t>
            </w:r>
          </w:p>
        </w:tc>
      </w:tr>
      <w:tr w:rsidR="0026522F" w:rsidRPr="0026522F" w14:paraId="1B212CE7" w14:textId="77777777" w:rsidTr="6CE85171">
        <w:tc>
          <w:tcPr>
            <w:tcW w:w="8828" w:type="dxa"/>
            <w:gridSpan w:val="6"/>
          </w:tcPr>
          <w:p w14:paraId="4647F4F0" w14:textId="77777777" w:rsidR="000E47A6" w:rsidRPr="000E47A6" w:rsidRDefault="000E47A6" w:rsidP="000E47A6">
            <w:pPr>
              <w:numPr>
                <w:ilvl w:val="0"/>
                <w:numId w:val="21"/>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Exposición del instructor del tema; ayudado por materiales didácticos de ponencias en PWP, manual del participante y manual del instructor.</w:t>
            </w:r>
          </w:p>
          <w:p w14:paraId="106BFDE2" w14:textId="77777777" w:rsidR="000E47A6" w:rsidRPr="000E47A6" w:rsidRDefault="000E47A6" w:rsidP="000E47A6">
            <w:pPr>
              <w:numPr>
                <w:ilvl w:val="0"/>
                <w:numId w:val="21"/>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Demostración mediante la técnica de cuatro pasos.</w:t>
            </w:r>
          </w:p>
          <w:p w14:paraId="34BA7A42" w14:textId="77777777" w:rsidR="000E47A6" w:rsidRPr="000E47A6" w:rsidRDefault="000E47A6" w:rsidP="000E47A6">
            <w:pPr>
              <w:numPr>
                <w:ilvl w:val="0"/>
                <w:numId w:val="21"/>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Cada tema tendrá un tópico asignado para generar debate organizados los participantes en grupos de trabajo, después se dará una presentación para el grupo completo de los acuerdos generados en cada grupo.</w:t>
            </w:r>
          </w:p>
          <w:p w14:paraId="433978A7" w14:textId="77777777" w:rsidR="000E47A6" w:rsidRPr="000E47A6" w:rsidRDefault="000E47A6" w:rsidP="000E47A6">
            <w:pPr>
              <w:numPr>
                <w:ilvl w:val="0"/>
                <w:numId w:val="21"/>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xml:space="preserve"> El instructor generará espacios y tópicos para la discusión en grupo de los temas del curso </w:t>
            </w:r>
            <w:proofErr w:type="gramStart"/>
            <w:r w:rsidRPr="000E47A6">
              <w:rPr>
                <w:rFonts w:ascii="Arial" w:eastAsia="Times New Roman" w:hAnsi="Arial" w:cs="Arial"/>
                <w:sz w:val="21"/>
                <w:szCs w:val="21"/>
                <w:lang w:val="es-ES" w:eastAsia="es-ES"/>
              </w:rPr>
              <w:t>de acuerdo al</w:t>
            </w:r>
            <w:proofErr w:type="gramEnd"/>
            <w:r w:rsidRPr="000E47A6">
              <w:rPr>
                <w:rFonts w:ascii="Arial" w:eastAsia="Times New Roman" w:hAnsi="Arial" w:cs="Arial"/>
                <w:sz w:val="21"/>
                <w:szCs w:val="21"/>
                <w:lang w:val="es-ES" w:eastAsia="es-ES"/>
              </w:rPr>
              <w:t xml:space="preserve"> lineamiento establecido por el docente.</w:t>
            </w:r>
          </w:p>
          <w:p w14:paraId="5AB41D6C" w14:textId="77777777" w:rsidR="000E47A6" w:rsidRPr="000E47A6" w:rsidRDefault="000E47A6" w:rsidP="000E47A6">
            <w:pPr>
              <w:numPr>
                <w:ilvl w:val="0"/>
                <w:numId w:val="21"/>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Se usará la técnica interrogativa y discusión asignados temas específicos para su análisis y obtención de resúmenes.</w:t>
            </w:r>
          </w:p>
          <w:p w14:paraId="1512EEF3" w14:textId="77777777" w:rsidR="000E47A6" w:rsidRPr="000E47A6" w:rsidRDefault="000E47A6" w:rsidP="000E47A6">
            <w:pPr>
              <w:numPr>
                <w:ilvl w:val="0"/>
                <w:numId w:val="21"/>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Algunos temas se trabajarán en forma de talleres, dando un tópico específico que los participantes organizados en grupos trabajarán, para ello requerirán investigación bibliográfica, ejecutar la actividad con el objetivo asignado y hacer un reporte escrito.</w:t>
            </w:r>
          </w:p>
          <w:p w14:paraId="5C26E2A8" w14:textId="77777777" w:rsidR="000E47A6" w:rsidRPr="000E47A6" w:rsidRDefault="000E47A6" w:rsidP="000E47A6">
            <w:pPr>
              <w:numPr>
                <w:ilvl w:val="0"/>
                <w:numId w:val="21"/>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Los trabajos de los talleres serán presentados en formato escrito y oral.</w:t>
            </w:r>
          </w:p>
          <w:p w14:paraId="3DEEC669" w14:textId="77777777" w:rsidR="00C079D2" w:rsidRPr="0026522F" w:rsidRDefault="00C079D2">
            <w:pPr>
              <w:contextualSpacing/>
              <w:rPr>
                <w:rFonts w:ascii="Arial" w:hAnsi="Arial" w:cs="Arial"/>
                <w:i/>
                <w:iCs/>
                <w:sz w:val="22"/>
                <w:szCs w:val="22"/>
                <w:lang w:val="es-ES"/>
              </w:rPr>
            </w:pPr>
          </w:p>
        </w:tc>
      </w:tr>
      <w:tr w:rsidR="0026522F" w:rsidRPr="0026522F" w14:paraId="3F32FB8B" w14:textId="77777777" w:rsidTr="6CE85171">
        <w:tc>
          <w:tcPr>
            <w:tcW w:w="8828" w:type="dxa"/>
            <w:gridSpan w:val="6"/>
            <w:shd w:val="clear" w:color="auto" w:fill="44546A" w:themeFill="text2"/>
          </w:tcPr>
          <w:p w14:paraId="33D311AB" w14:textId="77777777" w:rsidR="00C079D2" w:rsidRPr="0026522F" w:rsidRDefault="00C079D2">
            <w:pPr>
              <w:contextualSpacing/>
              <w:rPr>
                <w:rFonts w:ascii="Arial" w:hAnsi="Arial" w:cs="Arial"/>
                <w:sz w:val="22"/>
                <w:szCs w:val="22"/>
              </w:rPr>
            </w:pPr>
            <w:r w:rsidRPr="0026522F">
              <w:rPr>
                <w:rFonts w:ascii="Arial" w:hAnsi="Arial" w:cs="Arial"/>
                <w:sz w:val="22"/>
                <w:szCs w:val="22"/>
              </w:rPr>
              <w:t>MODALIDADES DE EVALUACIÓN Y ACREDITACIÓN</w:t>
            </w:r>
          </w:p>
        </w:tc>
      </w:tr>
      <w:tr w:rsidR="0026522F" w:rsidRPr="0026522F" w14:paraId="3656B9AB" w14:textId="77777777" w:rsidTr="6CE85171">
        <w:tc>
          <w:tcPr>
            <w:tcW w:w="8828" w:type="dxa"/>
            <w:gridSpan w:val="6"/>
          </w:tcPr>
          <w:p w14:paraId="45FB0818" w14:textId="77777777" w:rsidR="00C079D2" w:rsidRPr="0026522F" w:rsidRDefault="00C079D2">
            <w:pPr>
              <w:contextualSpacing/>
              <w:rPr>
                <w:rFonts w:ascii="Arial" w:hAnsi="Arial" w:cs="Arial"/>
                <w:i/>
                <w:iCs/>
                <w:sz w:val="22"/>
                <w:szCs w:val="22"/>
              </w:rPr>
            </w:pPr>
          </w:p>
        </w:tc>
      </w:tr>
      <w:tr w:rsidR="0026522F" w:rsidRPr="0026522F" w14:paraId="63EF0C1A" w14:textId="77777777" w:rsidTr="6CE85171">
        <w:tc>
          <w:tcPr>
            <w:tcW w:w="5296" w:type="dxa"/>
            <w:gridSpan w:val="3"/>
            <w:shd w:val="clear" w:color="auto" w:fill="DBDBDB" w:themeFill="accent3" w:themeFillTint="66"/>
          </w:tcPr>
          <w:p w14:paraId="6032D5B2" w14:textId="77777777" w:rsidR="00C079D2" w:rsidRPr="0026522F" w:rsidRDefault="00C079D2" w:rsidP="00C079D2">
            <w:pPr>
              <w:contextualSpacing/>
              <w:jc w:val="center"/>
              <w:rPr>
                <w:rFonts w:ascii="Arial" w:hAnsi="Arial" w:cs="Arial"/>
                <w:b/>
                <w:bCs/>
                <w:sz w:val="22"/>
                <w:szCs w:val="22"/>
              </w:rPr>
            </w:pPr>
            <w:r w:rsidRPr="0026522F">
              <w:rPr>
                <w:rFonts w:ascii="Arial" w:hAnsi="Arial" w:cs="Arial"/>
                <w:b/>
                <w:bCs/>
                <w:sz w:val="22"/>
                <w:szCs w:val="22"/>
              </w:rPr>
              <w:t>Aspecto</w:t>
            </w:r>
          </w:p>
        </w:tc>
        <w:tc>
          <w:tcPr>
            <w:tcW w:w="3532" w:type="dxa"/>
            <w:gridSpan w:val="3"/>
            <w:shd w:val="clear" w:color="auto" w:fill="DBDBDB" w:themeFill="accent3" w:themeFillTint="66"/>
          </w:tcPr>
          <w:p w14:paraId="1733985C" w14:textId="77777777" w:rsidR="00C079D2" w:rsidRPr="0026522F" w:rsidRDefault="00C079D2" w:rsidP="00C079D2">
            <w:pPr>
              <w:contextualSpacing/>
              <w:jc w:val="center"/>
              <w:rPr>
                <w:rFonts w:ascii="Arial" w:hAnsi="Arial" w:cs="Arial"/>
                <w:b/>
                <w:bCs/>
                <w:sz w:val="22"/>
                <w:szCs w:val="22"/>
              </w:rPr>
            </w:pPr>
            <w:r w:rsidRPr="0026522F">
              <w:rPr>
                <w:rFonts w:ascii="Arial" w:hAnsi="Arial" w:cs="Arial"/>
                <w:b/>
                <w:bCs/>
                <w:sz w:val="22"/>
                <w:szCs w:val="22"/>
              </w:rPr>
              <w:t>Ponderación</w:t>
            </w:r>
          </w:p>
        </w:tc>
      </w:tr>
      <w:tr w:rsidR="0026522F" w:rsidRPr="0026522F" w14:paraId="7E7944B8" w14:textId="77777777" w:rsidTr="6CE85171">
        <w:tc>
          <w:tcPr>
            <w:tcW w:w="5296" w:type="dxa"/>
            <w:gridSpan w:val="3"/>
          </w:tcPr>
          <w:p w14:paraId="314F27A7" w14:textId="77777777" w:rsidR="00C079D2" w:rsidRPr="0026522F" w:rsidRDefault="0056383A" w:rsidP="000E47A6">
            <w:pPr>
              <w:contextualSpacing/>
              <w:rPr>
                <w:rFonts w:ascii="Arial" w:hAnsi="Arial" w:cs="Arial"/>
                <w:sz w:val="22"/>
                <w:szCs w:val="22"/>
              </w:rPr>
            </w:pPr>
            <w:r w:rsidRPr="0026522F">
              <w:t xml:space="preserve">Exámenes </w:t>
            </w:r>
            <w:r w:rsidR="000E47A6" w:rsidRPr="0026522F">
              <w:t>de conocimientos y habilidades</w:t>
            </w:r>
            <w:r w:rsidRPr="0026522F">
              <w:tab/>
            </w:r>
            <w:r w:rsidRPr="0026522F">
              <w:tab/>
            </w:r>
          </w:p>
        </w:tc>
        <w:tc>
          <w:tcPr>
            <w:tcW w:w="3532" w:type="dxa"/>
            <w:gridSpan w:val="3"/>
          </w:tcPr>
          <w:p w14:paraId="218FE66B" w14:textId="77777777" w:rsidR="0056383A" w:rsidRPr="0026522F" w:rsidRDefault="000E47A6" w:rsidP="0056383A">
            <w:pPr>
              <w:widowControl w:val="0"/>
              <w:autoSpaceDE w:val="0"/>
              <w:autoSpaceDN w:val="0"/>
              <w:adjustRightInd w:val="0"/>
              <w:jc w:val="both"/>
            </w:pPr>
            <w:r w:rsidRPr="0026522F">
              <w:t>5</w:t>
            </w:r>
            <w:r w:rsidR="0056383A" w:rsidRPr="0026522F">
              <w:t xml:space="preserve">0% </w:t>
            </w:r>
          </w:p>
          <w:p w14:paraId="049F31CB" w14:textId="77777777" w:rsidR="00C079D2" w:rsidRPr="0026522F" w:rsidRDefault="00C079D2">
            <w:pPr>
              <w:contextualSpacing/>
              <w:rPr>
                <w:rFonts w:ascii="Arial" w:hAnsi="Arial" w:cs="Arial"/>
                <w:sz w:val="22"/>
                <w:szCs w:val="22"/>
              </w:rPr>
            </w:pPr>
          </w:p>
        </w:tc>
      </w:tr>
      <w:tr w:rsidR="0026522F" w:rsidRPr="0026522F" w14:paraId="4AA48726" w14:textId="77777777" w:rsidTr="6CE85171">
        <w:tc>
          <w:tcPr>
            <w:tcW w:w="5296" w:type="dxa"/>
            <w:gridSpan w:val="3"/>
          </w:tcPr>
          <w:p w14:paraId="47BA6458" w14:textId="77777777" w:rsidR="000E47A6" w:rsidRPr="000E47A6" w:rsidRDefault="000E47A6" w:rsidP="000E47A6">
            <w:pPr>
              <w:numPr>
                <w:ilvl w:val="0"/>
                <w:numId w:val="22"/>
              </w:numPr>
              <w:shd w:val="clear" w:color="auto" w:fill="FFFFFF"/>
              <w:spacing w:before="100" w:beforeAutospacing="1" w:after="100" w:afterAutospacing="1" w:line="360" w:lineRule="atLeast"/>
              <w:rPr>
                <w:rFonts w:ascii="Arial" w:eastAsia="Times New Roman" w:hAnsi="Arial" w:cs="Arial"/>
                <w:sz w:val="21"/>
                <w:szCs w:val="21"/>
                <w:lang w:val="es-ES" w:eastAsia="es-ES"/>
              </w:rPr>
            </w:pPr>
            <w:proofErr w:type="gramStart"/>
            <w:r w:rsidRPr="000E47A6">
              <w:rPr>
                <w:rFonts w:ascii="Arial" w:eastAsia="Times New Roman" w:hAnsi="Arial" w:cs="Arial"/>
                <w:sz w:val="21"/>
                <w:szCs w:val="21"/>
                <w:lang w:val="es-ES" w:eastAsia="es-ES"/>
              </w:rPr>
              <w:t>Además</w:t>
            </w:r>
            <w:proofErr w:type="gramEnd"/>
            <w:r w:rsidRPr="000E47A6">
              <w:rPr>
                <w:rFonts w:ascii="Arial" w:eastAsia="Times New Roman" w:hAnsi="Arial" w:cs="Arial"/>
                <w:sz w:val="21"/>
                <w:szCs w:val="21"/>
                <w:lang w:val="es-ES" w:eastAsia="es-ES"/>
              </w:rPr>
              <w:t xml:space="preserve"> se evaluará los trabajos de cada uno de los 2 talleres en forma de ponencia o seminario </w:t>
            </w:r>
          </w:p>
          <w:p w14:paraId="4CB8B05E" w14:textId="77777777" w:rsidR="000E47A6" w:rsidRPr="000E47A6" w:rsidRDefault="000E47A6" w:rsidP="000E47A6">
            <w:pPr>
              <w:numPr>
                <w:ilvl w:val="0"/>
                <w:numId w:val="22"/>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-Seminario 1: taller “diseñar un experimento de vida útil específicamente para evaluar textura en cereales y productos marinos”</w:t>
            </w:r>
          </w:p>
          <w:p w14:paraId="49A06FA5" w14:textId="77777777" w:rsidR="000E47A6" w:rsidRPr="000E47A6" w:rsidRDefault="000E47A6" w:rsidP="000E47A6">
            <w:pPr>
              <w:numPr>
                <w:ilvl w:val="0"/>
                <w:numId w:val="22"/>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-Seminario 2: taller “diseñar un experimento de vida útil específicamente para evaluar olor en cereales y productos marinos”</w:t>
            </w:r>
          </w:p>
          <w:p w14:paraId="224113CD" w14:textId="77777777" w:rsidR="000E47A6" w:rsidRPr="000E47A6" w:rsidRDefault="000E47A6" w:rsidP="000E47A6">
            <w:pPr>
              <w:numPr>
                <w:ilvl w:val="0"/>
                <w:numId w:val="22"/>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-Seminario 3: taller “diseñar un experimento de vida útil específicamente para evaluar sabor y olor en cereales y productos marinos”</w:t>
            </w:r>
          </w:p>
          <w:p w14:paraId="53ED0124" w14:textId="77777777" w:rsidR="000E47A6" w:rsidRPr="000E47A6" w:rsidRDefault="000E47A6" w:rsidP="000E47A6">
            <w:pPr>
              <w:numPr>
                <w:ilvl w:val="0"/>
                <w:numId w:val="22"/>
              </w:numPr>
              <w:shd w:val="clear" w:color="auto" w:fill="FFFFFF"/>
              <w:spacing w:before="100" w:beforeAutospacing="1" w:after="100" w:afterAutospacing="1" w:line="360" w:lineRule="atLeast"/>
              <w:rPr>
                <w:rFonts w:ascii="Arial" w:eastAsia="Times New Roman" w:hAnsi="Arial" w:cs="Arial"/>
                <w:sz w:val="21"/>
                <w:szCs w:val="21"/>
                <w:lang w:val="es-ES" w:eastAsia="es-ES"/>
              </w:rPr>
            </w:pPr>
            <w:r w:rsidRPr="000E47A6">
              <w:rPr>
                <w:rFonts w:ascii="Arial" w:eastAsia="Times New Roman" w:hAnsi="Arial" w:cs="Arial"/>
                <w:sz w:val="21"/>
                <w:szCs w:val="21"/>
                <w:lang w:val="es-ES" w:eastAsia="es-ES"/>
              </w:rPr>
              <w:t xml:space="preserve"> -Seminario 4: taller “diseñar un experimento de vida útil combinando parámetros </w:t>
            </w:r>
            <w:r w:rsidRPr="000E47A6">
              <w:rPr>
                <w:rFonts w:ascii="Arial" w:eastAsia="Times New Roman" w:hAnsi="Arial" w:cs="Arial"/>
                <w:sz w:val="21"/>
                <w:szCs w:val="21"/>
                <w:lang w:val="es-ES" w:eastAsia="es-ES"/>
              </w:rPr>
              <w:lastRenderedPageBreak/>
              <w:t>fisicoquímicos y sensoriales para los atributos de sabor y olor en cereales y productos marinos”</w:t>
            </w:r>
          </w:p>
          <w:p w14:paraId="53128261" w14:textId="77777777" w:rsidR="00C079D2" w:rsidRPr="0026522F" w:rsidRDefault="00C079D2">
            <w:pPr>
              <w:contextualSpacing/>
              <w:rPr>
                <w:rFonts w:ascii="Arial" w:hAnsi="Arial" w:cs="Arial"/>
                <w:sz w:val="22"/>
                <w:szCs w:val="22"/>
                <w:lang w:val="es-ES"/>
              </w:rPr>
            </w:pPr>
          </w:p>
        </w:tc>
        <w:tc>
          <w:tcPr>
            <w:tcW w:w="3532" w:type="dxa"/>
            <w:gridSpan w:val="3"/>
          </w:tcPr>
          <w:p w14:paraId="3A174C5D" w14:textId="77777777" w:rsidR="00C079D2" w:rsidRPr="0026522F" w:rsidRDefault="0026522F">
            <w:pPr>
              <w:contextualSpacing/>
              <w:rPr>
                <w:rFonts w:ascii="Arial" w:hAnsi="Arial" w:cs="Arial"/>
                <w:sz w:val="22"/>
                <w:szCs w:val="22"/>
              </w:rPr>
            </w:pPr>
            <w:r w:rsidRPr="0026522F">
              <w:lastRenderedPageBreak/>
              <w:t>5</w:t>
            </w:r>
            <w:r w:rsidR="0056383A" w:rsidRPr="0026522F">
              <w:t>0%</w:t>
            </w:r>
          </w:p>
        </w:tc>
      </w:tr>
      <w:tr w:rsidR="0026522F" w:rsidRPr="0026522F" w14:paraId="3567D802" w14:textId="77777777" w:rsidTr="6CE85171">
        <w:tc>
          <w:tcPr>
            <w:tcW w:w="8828" w:type="dxa"/>
            <w:gridSpan w:val="6"/>
            <w:shd w:val="clear" w:color="auto" w:fill="44546A" w:themeFill="text2"/>
          </w:tcPr>
          <w:p w14:paraId="643D8A5C" w14:textId="77777777" w:rsidR="00C079D2" w:rsidRPr="0026522F" w:rsidRDefault="00C079D2">
            <w:pPr>
              <w:contextualSpacing/>
              <w:rPr>
                <w:rFonts w:ascii="Arial" w:hAnsi="Arial" w:cs="Arial"/>
                <w:sz w:val="22"/>
                <w:szCs w:val="22"/>
              </w:rPr>
            </w:pPr>
            <w:r w:rsidRPr="0026522F">
              <w:rPr>
                <w:rFonts w:ascii="Arial" w:hAnsi="Arial" w:cs="Arial"/>
                <w:sz w:val="22"/>
                <w:szCs w:val="22"/>
              </w:rPr>
              <w:t xml:space="preserve">BIBLIOGRAFÍA, DOCUMENTACIÓN Y MATERIALES DE APOYO </w:t>
            </w:r>
          </w:p>
        </w:tc>
      </w:tr>
      <w:tr w:rsidR="00C079D2" w:rsidRPr="00C079D2" w14:paraId="62486C05" w14:textId="77777777" w:rsidTr="6CE85171">
        <w:tc>
          <w:tcPr>
            <w:tcW w:w="8828" w:type="dxa"/>
            <w:gridSpan w:val="6"/>
          </w:tcPr>
          <w:p w14:paraId="4101652C" w14:textId="77777777" w:rsidR="00C079D2" w:rsidRPr="00C079D2" w:rsidRDefault="00C079D2">
            <w:pPr>
              <w:contextualSpacing/>
              <w:rPr>
                <w:rFonts w:ascii="Arial" w:hAnsi="Arial" w:cs="Arial"/>
                <w:i/>
                <w:iCs/>
                <w:sz w:val="22"/>
                <w:szCs w:val="22"/>
              </w:rPr>
            </w:pPr>
          </w:p>
        </w:tc>
      </w:tr>
      <w:tr w:rsidR="00C079D2" w:rsidRPr="00C079D2" w14:paraId="5B7DCA1E" w14:textId="77777777" w:rsidTr="6CE85171">
        <w:tc>
          <w:tcPr>
            <w:tcW w:w="1765" w:type="dxa"/>
            <w:shd w:val="clear" w:color="auto" w:fill="DBDBDB" w:themeFill="accent3" w:themeFillTint="66"/>
          </w:tcPr>
          <w:p w14:paraId="4C320DDC"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Autor</w:t>
            </w:r>
          </w:p>
        </w:tc>
        <w:tc>
          <w:tcPr>
            <w:tcW w:w="1765" w:type="dxa"/>
            <w:shd w:val="clear" w:color="auto" w:fill="DBDBDB" w:themeFill="accent3" w:themeFillTint="66"/>
          </w:tcPr>
          <w:p w14:paraId="435E4915"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Título</w:t>
            </w:r>
          </w:p>
        </w:tc>
        <w:tc>
          <w:tcPr>
            <w:tcW w:w="1766" w:type="dxa"/>
            <w:shd w:val="clear" w:color="auto" w:fill="DBDBDB" w:themeFill="accent3" w:themeFillTint="66"/>
          </w:tcPr>
          <w:p w14:paraId="6B0F330F"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Editorial</w:t>
            </w:r>
          </w:p>
        </w:tc>
        <w:tc>
          <w:tcPr>
            <w:tcW w:w="1766" w:type="dxa"/>
            <w:gridSpan w:val="2"/>
            <w:shd w:val="clear" w:color="auto" w:fill="DBDBDB" w:themeFill="accent3" w:themeFillTint="66"/>
          </w:tcPr>
          <w:p w14:paraId="039643D1"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Edición</w:t>
            </w:r>
          </w:p>
        </w:tc>
        <w:tc>
          <w:tcPr>
            <w:tcW w:w="1766" w:type="dxa"/>
            <w:shd w:val="clear" w:color="auto" w:fill="DBDBDB" w:themeFill="accent3" w:themeFillTint="66"/>
          </w:tcPr>
          <w:p w14:paraId="6D7CADB1"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Año</w:t>
            </w:r>
          </w:p>
        </w:tc>
      </w:tr>
      <w:tr w:rsidR="00C079D2" w:rsidRPr="0050755A" w14:paraId="20B50282" w14:textId="77777777" w:rsidTr="6CE85171">
        <w:tc>
          <w:tcPr>
            <w:tcW w:w="1765" w:type="dxa"/>
          </w:tcPr>
          <w:p w14:paraId="524D1679" w14:textId="77777777" w:rsidR="00C079D2" w:rsidRPr="0026522F" w:rsidRDefault="0026522F" w:rsidP="0026522F">
            <w:pPr>
              <w:contextualSpacing/>
              <w:rPr>
                <w:rFonts w:ascii="Arial" w:hAnsi="Arial" w:cs="Arial"/>
                <w:sz w:val="22"/>
                <w:szCs w:val="22"/>
                <w:lang w:val="es-ES"/>
              </w:rPr>
            </w:pPr>
            <w:proofErr w:type="spellStart"/>
            <w:r w:rsidRPr="0026522F">
              <w:rPr>
                <w:rFonts w:ascii="Arial" w:hAnsi="Arial" w:cs="Arial"/>
                <w:sz w:val="21"/>
                <w:szCs w:val="21"/>
                <w:shd w:val="clear" w:color="auto" w:fill="FFFFFF"/>
                <w:lang w:val="en-US"/>
              </w:rPr>
              <w:t>Meilgaard</w:t>
            </w:r>
            <w:proofErr w:type="spellEnd"/>
            <w:r w:rsidRPr="0026522F">
              <w:rPr>
                <w:rFonts w:ascii="Arial" w:hAnsi="Arial" w:cs="Arial"/>
                <w:sz w:val="21"/>
                <w:szCs w:val="21"/>
                <w:shd w:val="clear" w:color="auto" w:fill="FFFFFF"/>
                <w:lang w:val="en-US"/>
              </w:rPr>
              <w:t xml:space="preserve">, M, </w:t>
            </w:r>
            <w:proofErr w:type="spellStart"/>
            <w:r w:rsidRPr="0026522F">
              <w:rPr>
                <w:rFonts w:ascii="Arial" w:hAnsi="Arial" w:cs="Arial"/>
                <w:sz w:val="21"/>
                <w:szCs w:val="21"/>
                <w:shd w:val="clear" w:color="auto" w:fill="FFFFFF"/>
                <w:lang w:val="en-US"/>
              </w:rPr>
              <w:t>Civille</w:t>
            </w:r>
            <w:proofErr w:type="spellEnd"/>
            <w:r w:rsidRPr="0026522F">
              <w:rPr>
                <w:rFonts w:ascii="Arial" w:hAnsi="Arial" w:cs="Arial"/>
                <w:sz w:val="21"/>
                <w:szCs w:val="21"/>
                <w:shd w:val="clear" w:color="auto" w:fill="FFFFFF"/>
                <w:lang w:val="en-US"/>
              </w:rPr>
              <w:t xml:space="preserve">, G.V., and </w:t>
            </w:r>
            <w:proofErr w:type="spellStart"/>
            <w:r w:rsidRPr="0026522F">
              <w:rPr>
                <w:rFonts w:ascii="Arial" w:hAnsi="Arial" w:cs="Arial"/>
                <w:sz w:val="21"/>
                <w:szCs w:val="21"/>
                <w:shd w:val="clear" w:color="auto" w:fill="FFFFFF"/>
                <w:lang w:val="en-US"/>
              </w:rPr>
              <w:t>Carr</w:t>
            </w:r>
            <w:proofErr w:type="spellEnd"/>
            <w:r w:rsidRPr="0026522F">
              <w:rPr>
                <w:rFonts w:ascii="Arial" w:hAnsi="Arial" w:cs="Arial"/>
                <w:sz w:val="21"/>
                <w:szCs w:val="21"/>
                <w:shd w:val="clear" w:color="auto" w:fill="FFFFFF"/>
                <w:lang w:val="en-US"/>
              </w:rPr>
              <w:t xml:space="preserve">, B, </w:t>
            </w:r>
            <w:proofErr w:type="gramStart"/>
            <w:r w:rsidRPr="0026522F">
              <w:rPr>
                <w:rFonts w:ascii="Arial" w:hAnsi="Arial" w:cs="Arial"/>
                <w:sz w:val="21"/>
                <w:szCs w:val="21"/>
                <w:shd w:val="clear" w:color="auto" w:fill="FFFFFF"/>
                <w:lang w:val="en-US"/>
              </w:rPr>
              <w:t>T..</w:t>
            </w:r>
            <w:proofErr w:type="gramEnd"/>
            <w:r w:rsidRPr="0026522F">
              <w:rPr>
                <w:rFonts w:ascii="Arial" w:hAnsi="Arial" w:cs="Arial"/>
                <w:sz w:val="21"/>
                <w:szCs w:val="21"/>
                <w:shd w:val="clear" w:color="auto" w:fill="FFFFFF"/>
                <w:lang w:val="en-US"/>
              </w:rPr>
              <w:t xml:space="preserve"> </w:t>
            </w:r>
            <w:r w:rsidRPr="0026522F">
              <w:rPr>
                <w:rFonts w:ascii="Arial" w:hAnsi="Arial" w:cs="Arial"/>
                <w:sz w:val="21"/>
                <w:szCs w:val="21"/>
                <w:shd w:val="clear" w:color="auto" w:fill="FFFFFF"/>
                <w:lang w:val="es-ES"/>
              </w:rPr>
              <w:t xml:space="preserve">LLC. </w:t>
            </w:r>
          </w:p>
        </w:tc>
        <w:tc>
          <w:tcPr>
            <w:tcW w:w="1765" w:type="dxa"/>
          </w:tcPr>
          <w:p w14:paraId="17B3B9CA" w14:textId="77777777" w:rsidR="00C079D2" w:rsidRPr="0026522F" w:rsidRDefault="0026522F" w:rsidP="0026522F">
            <w:pPr>
              <w:contextualSpacing/>
              <w:rPr>
                <w:rFonts w:ascii="Arial" w:hAnsi="Arial" w:cs="Arial"/>
                <w:sz w:val="22"/>
                <w:szCs w:val="22"/>
                <w:lang w:val="es-ES"/>
              </w:rPr>
            </w:pPr>
            <w:proofErr w:type="spellStart"/>
            <w:r w:rsidRPr="0026522F">
              <w:rPr>
                <w:rFonts w:ascii="Arial" w:hAnsi="Arial" w:cs="Arial"/>
                <w:sz w:val="21"/>
                <w:szCs w:val="21"/>
                <w:shd w:val="clear" w:color="auto" w:fill="FFFFFF"/>
                <w:lang w:val="es-ES"/>
              </w:rPr>
              <w:t>Sensory</w:t>
            </w:r>
            <w:proofErr w:type="spellEnd"/>
            <w:r w:rsidRPr="0026522F">
              <w:rPr>
                <w:rFonts w:ascii="Arial" w:hAnsi="Arial" w:cs="Arial"/>
                <w:sz w:val="21"/>
                <w:szCs w:val="21"/>
                <w:shd w:val="clear" w:color="auto" w:fill="FFFFFF"/>
                <w:lang w:val="es-ES"/>
              </w:rPr>
              <w:t xml:space="preserve"> </w:t>
            </w:r>
            <w:proofErr w:type="spellStart"/>
            <w:r w:rsidRPr="0026522F">
              <w:rPr>
                <w:rFonts w:ascii="Arial" w:hAnsi="Arial" w:cs="Arial"/>
                <w:sz w:val="21"/>
                <w:szCs w:val="21"/>
                <w:shd w:val="clear" w:color="auto" w:fill="FFFFFF"/>
                <w:lang w:val="es-ES"/>
              </w:rPr>
              <w:t>evaluation</w:t>
            </w:r>
            <w:proofErr w:type="spellEnd"/>
            <w:r w:rsidRPr="0026522F">
              <w:rPr>
                <w:rFonts w:ascii="Arial" w:hAnsi="Arial" w:cs="Arial"/>
                <w:sz w:val="21"/>
                <w:szCs w:val="21"/>
                <w:shd w:val="clear" w:color="auto" w:fill="FFFFFF"/>
                <w:lang w:val="es-ES"/>
              </w:rPr>
              <w:t xml:space="preserve"> </w:t>
            </w:r>
            <w:proofErr w:type="spellStart"/>
            <w:r w:rsidRPr="0026522F">
              <w:rPr>
                <w:rFonts w:ascii="Arial" w:hAnsi="Arial" w:cs="Arial"/>
                <w:sz w:val="21"/>
                <w:szCs w:val="21"/>
                <w:shd w:val="clear" w:color="auto" w:fill="FFFFFF"/>
                <w:lang w:val="es-ES"/>
              </w:rPr>
              <w:t>techniques</w:t>
            </w:r>
            <w:proofErr w:type="spellEnd"/>
            <w:r w:rsidRPr="0026522F">
              <w:rPr>
                <w:bCs/>
                <w:iCs/>
                <w:sz w:val="23"/>
                <w:szCs w:val="23"/>
              </w:rPr>
              <w:t xml:space="preserve"> </w:t>
            </w:r>
          </w:p>
        </w:tc>
        <w:tc>
          <w:tcPr>
            <w:tcW w:w="1766" w:type="dxa"/>
          </w:tcPr>
          <w:p w14:paraId="6882A410" w14:textId="77777777" w:rsidR="00C079D2" w:rsidRPr="0026522F" w:rsidRDefault="0026522F" w:rsidP="0026522F">
            <w:pPr>
              <w:contextualSpacing/>
              <w:rPr>
                <w:rFonts w:ascii="Arial" w:hAnsi="Arial" w:cs="Arial"/>
                <w:sz w:val="22"/>
                <w:szCs w:val="22"/>
                <w:lang w:val="en-US"/>
              </w:rPr>
            </w:pPr>
            <w:r w:rsidRPr="0026522F">
              <w:rPr>
                <w:rFonts w:ascii="Arial" w:hAnsi="Arial" w:cs="Arial"/>
                <w:sz w:val="21"/>
                <w:szCs w:val="21"/>
                <w:shd w:val="clear" w:color="auto" w:fill="FFFFFF"/>
                <w:lang w:val="en-US"/>
              </w:rPr>
              <w:t xml:space="preserve">CRC Press </w:t>
            </w:r>
          </w:p>
        </w:tc>
        <w:tc>
          <w:tcPr>
            <w:tcW w:w="1766" w:type="dxa"/>
            <w:gridSpan w:val="2"/>
          </w:tcPr>
          <w:p w14:paraId="4B99056E" w14:textId="77777777" w:rsidR="00C079D2" w:rsidRPr="0026522F" w:rsidRDefault="00C079D2">
            <w:pPr>
              <w:contextualSpacing/>
              <w:rPr>
                <w:rFonts w:ascii="Arial" w:hAnsi="Arial" w:cs="Arial"/>
                <w:sz w:val="22"/>
                <w:szCs w:val="22"/>
                <w:lang w:val="en-US"/>
              </w:rPr>
            </w:pPr>
          </w:p>
        </w:tc>
        <w:tc>
          <w:tcPr>
            <w:tcW w:w="1766" w:type="dxa"/>
          </w:tcPr>
          <w:p w14:paraId="223DCFEF" w14:textId="77777777" w:rsidR="00C079D2" w:rsidRPr="0026522F" w:rsidRDefault="0026522F" w:rsidP="000E633B">
            <w:pPr>
              <w:contextualSpacing/>
              <w:rPr>
                <w:rFonts w:ascii="Arial" w:hAnsi="Arial" w:cs="Arial"/>
                <w:sz w:val="22"/>
                <w:szCs w:val="22"/>
                <w:lang w:val="en-US"/>
              </w:rPr>
            </w:pPr>
            <w:r w:rsidRPr="0026522F">
              <w:rPr>
                <w:rFonts w:ascii="Arial" w:hAnsi="Arial" w:cs="Arial"/>
                <w:sz w:val="21"/>
                <w:szCs w:val="21"/>
                <w:shd w:val="clear" w:color="auto" w:fill="FFFFFF"/>
                <w:lang w:val="en-US"/>
              </w:rPr>
              <w:t>1999</w:t>
            </w:r>
          </w:p>
        </w:tc>
      </w:tr>
      <w:tr w:rsidR="00C079D2" w:rsidRPr="0050755A" w14:paraId="63DE91E6" w14:textId="77777777" w:rsidTr="6CE85171">
        <w:tc>
          <w:tcPr>
            <w:tcW w:w="1765" w:type="dxa"/>
          </w:tcPr>
          <w:p w14:paraId="696D6D65" w14:textId="77777777" w:rsidR="00C079D2" w:rsidRPr="0026522F" w:rsidRDefault="0026522F" w:rsidP="0026522F">
            <w:pPr>
              <w:contextualSpacing/>
              <w:rPr>
                <w:rFonts w:ascii="Arial" w:hAnsi="Arial" w:cs="Arial"/>
                <w:sz w:val="22"/>
                <w:szCs w:val="22"/>
                <w:lang w:val="en-US"/>
              </w:rPr>
            </w:pPr>
            <w:r w:rsidRPr="0026522F">
              <w:rPr>
                <w:rFonts w:ascii="Arial" w:hAnsi="Arial" w:cs="Arial"/>
                <w:sz w:val="21"/>
                <w:szCs w:val="21"/>
                <w:shd w:val="clear" w:color="auto" w:fill="FFFFFF"/>
                <w:lang w:val="en-US"/>
              </w:rPr>
              <w:t xml:space="preserve">Moskowitz, H.R. </w:t>
            </w:r>
          </w:p>
        </w:tc>
        <w:tc>
          <w:tcPr>
            <w:tcW w:w="1765" w:type="dxa"/>
          </w:tcPr>
          <w:p w14:paraId="6EAB3260" w14:textId="77777777" w:rsidR="00C079D2" w:rsidRPr="0026522F" w:rsidRDefault="0026522F" w:rsidP="0026522F">
            <w:pPr>
              <w:contextualSpacing/>
              <w:rPr>
                <w:rFonts w:ascii="Arial" w:hAnsi="Arial" w:cs="Arial"/>
                <w:sz w:val="22"/>
                <w:szCs w:val="22"/>
                <w:lang w:val="en-US"/>
              </w:rPr>
            </w:pPr>
            <w:r w:rsidRPr="0026522F">
              <w:rPr>
                <w:rFonts w:ascii="Arial" w:hAnsi="Arial" w:cs="Arial"/>
                <w:sz w:val="21"/>
                <w:szCs w:val="21"/>
                <w:shd w:val="clear" w:color="auto" w:fill="FFFFFF"/>
                <w:lang w:val="en-US"/>
              </w:rPr>
              <w:t xml:space="preserve">Marketing and R&amp;D approaches Product testing and sensory evaluation of foods. </w:t>
            </w:r>
          </w:p>
        </w:tc>
        <w:tc>
          <w:tcPr>
            <w:tcW w:w="1766" w:type="dxa"/>
          </w:tcPr>
          <w:p w14:paraId="571B172A" w14:textId="77777777" w:rsidR="00C079D2" w:rsidRPr="0026522F" w:rsidRDefault="0026522F">
            <w:pPr>
              <w:contextualSpacing/>
              <w:rPr>
                <w:rFonts w:ascii="Arial" w:hAnsi="Arial" w:cs="Arial"/>
                <w:sz w:val="22"/>
                <w:szCs w:val="22"/>
                <w:lang w:val="en-US"/>
              </w:rPr>
            </w:pPr>
            <w:r w:rsidRPr="0026522F">
              <w:rPr>
                <w:rFonts w:ascii="Arial" w:hAnsi="Arial" w:cs="Arial"/>
                <w:sz w:val="21"/>
                <w:szCs w:val="21"/>
                <w:shd w:val="clear" w:color="auto" w:fill="FFFFFF"/>
                <w:lang w:val="en-US"/>
              </w:rPr>
              <w:t>Food &amp; Nutrition Press. </w:t>
            </w:r>
          </w:p>
        </w:tc>
        <w:tc>
          <w:tcPr>
            <w:tcW w:w="1766" w:type="dxa"/>
            <w:gridSpan w:val="2"/>
          </w:tcPr>
          <w:p w14:paraId="1299C43A" w14:textId="77777777" w:rsidR="00C079D2" w:rsidRPr="0026522F" w:rsidRDefault="00C079D2">
            <w:pPr>
              <w:contextualSpacing/>
              <w:rPr>
                <w:rFonts w:ascii="Arial" w:hAnsi="Arial" w:cs="Arial"/>
                <w:sz w:val="22"/>
                <w:szCs w:val="22"/>
                <w:lang w:val="en-US"/>
              </w:rPr>
            </w:pPr>
          </w:p>
        </w:tc>
        <w:tc>
          <w:tcPr>
            <w:tcW w:w="1766" w:type="dxa"/>
          </w:tcPr>
          <w:p w14:paraId="2B4A67E3" w14:textId="77777777" w:rsidR="00C079D2" w:rsidRPr="0026522F" w:rsidRDefault="0026522F" w:rsidP="0026522F">
            <w:pPr>
              <w:contextualSpacing/>
              <w:rPr>
                <w:rFonts w:ascii="Arial" w:hAnsi="Arial" w:cs="Arial"/>
                <w:sz w:val="22"/>
                <w:szCs w:val="22"/>
                <w:lang w:val="en-US"/>
              </w:rPr>
            </w:pPr>
            <w:r w:rsidRPr="0026522F">
              <w:rPr>
                <w:rFonts w:ascii="Arial" w:hAnsi="Arial" w:cs="Arial"/>
                <w:sz w:val="21"/>
                <w:szCs w:val="21"/>
                <w:shd w:val="clear" w:color="auto" w:fill="FFFFFF"/>
                <w:lang w:val="en-US"/>
              </w:rPr>
              <w:t>1983</w:t>
            </w:r>
          </w:p>
        </w:tc>
      </w:tr>
      <w:tr w:rsidR="0050755A" w:rsidRPr="0026522F" w14:paraId="3F17EA68" w14:textId="77777777" w:rsidTr="6CE85171">
        <w:tc>
          <w:tcPr>
            <w:tcW w:w="1765" w:type="dxa"/>
          </w:tcPr>
          <w:p w14:paraId="1C9C5C7B" w14:textId="77777777" w:rsidR="0050755A" w:rsidRPr="00094256" w:rsidRDefault="0026522F" w:rsidP="0026522F">
            <w:pPr>
              <w:contextualSpacing/>
              <w:rPr>
                <w:bCs/>
                <w:lang w:val="en-US"/>
              </w:rPr>
            </w:pPr>
            <w:r w:rsidRPr="00094256">
              <w:rPr>
                <w:rFonts w:ascii="Arial" w:hAnsi="Arial" w:cs="Arial"/>
                <w:sz w:val="21"/>
                <w:szCs w:val="21"/>
                <w:shd w:val="clear" w:color="auto" w:fill="FFFFFF"/>
                <w:lang w:val="en-US"/>
              </w:rPr>
              <w:t xml:space="preserve">Muñoz, A.M., </w:t>
            </w:r>
            <w:proofErr w:type="spellStart"/>
            <w:r w:rsidRPr="00094256">
              <w:rPr>
                <w:rFonts w:ascii="Arial" w:hAnsi="Arial" w:cs="Arial"/>
                <w:sz w:val="21"/>
                <w:szCs w:val="21"/>
                <w:shd w:val="clear" w:color="auto" w:fill="FFFFFF"/>
                <w:lang w:val="en-US"/>
              </w:rPr>
              <w:t>Civille</w:t>
            </w:r>
            <w:proofErr w:type="spellEnd"/>
            <w:r w:rsidRPr="00094256">
              <w:rPr>
                <w:rFonts w:ascii="Arial" w:hAnsi="Arial" w:cs="Arial"/>
                <w:sz w:val="21"/>
                <w:szCs w:val="21"/>
                <w:shd w:val="clear" w:color="auto" w:fill="FFFFFF"/>
                <w:lang w:val="en-US"/>
              </w:rPr>
              <w:t xml:space="preserve">, G.V., and </w:t>
            </w:r>
            <w:proofErr w:type="spellStart"/>
            <w:r w:rsidRPr="00094256">
              <w:rPr>
                <w:rFonts w:ascii="Arial" w:hAnsi="Arial" w:cs="Arial"/>
                <w:sz w:val="21"/>
                <w:szCs w:val="21"/>
                <w:shd w:val="clear" w:color="auto" w:fill="FFFFFF"/>
                <w:lang w:val="en-US"/>
              </w:rPr>
              <w:t>Carr</w:t>
            </w:r>
            <w:proofErr w:type="spellEnd"/>
            <w:r w:rsidRPr="00094256">
              <w:rPr>
                <w:rFonts w:ascii="Arial" w:hAnsi="Arial" w:cs="Arial"/>
                <w:sz w:val="21"/>
                <w:szCs w:val="21"/>
                <w:shd w:val="clear" w:color="auto" w:fill="FFFFFF"/>
                <w:lang w:val="en-US"/>
              </w:rPr>
              <w:t xml:space="preserve">, B.T. </w:t>
            </w:r>
          </w:p>
        </w:tc>
        <w:tc>
          <w:tcPr>
            <w:tcW w:w="1765" w:type="dxa"/>
          </w:tcPr>
          <w:p w14:paraId="380920A8" w14:textId="77777777" w:rsidR="0050755A" w:rsidRPr="00094256" w:rsidRDefault="0026522F" w:rsidP="0026522F">
            <w:pPr>
              <w:contextualSpacing/>
              <w:rPr>
                <w:bCs/>
                <w:lang w:val="en-US"/>
              </w:rPr>
            </w:pPr>
            <w:r w:rsidRPr="00094256">
              <w:rPr>
                <w:rFonts w:ascii="Arial" w:hAnsi="Arial" w:cs="Arial"/>
                <w:sz w:val="21"/>
                <w:szCs w:val="21"/>
                <w:shd w:val="clear" w:color="auto" w:fill="FFFFFF"/>
                <w:lang w:val="en-US"/>
              </w:rPr>
              <w:t>Sensory evaluation in quality control</w:t>
            </w:r>
            <w:r w:rsidRPr="00094256">
              <w:rPr>
                <w:lang w:val="en-US"/>
              </w:rPr>
              <w:t xml:space="preserve"> </w:t>
            </w:r>
          </w:p>
        </w:tc>
        <w:tc>
          <w:tcPr>
            <w:tcW w:w="1766" w:type="dxa"/>
          </w:tcPr>
          <w:p w14:paraId="1787DECD" w14:textId="77777777" w:rsidR="0050755A" w:rsidRPr="0026522F" w:rsidRDefault="0026522F" w:rsidP="0026522F">
            <w:pPr>
              <w:contextualSpacing/>
              <w:rPr>
                <w:bCs/>
                <w:lang w:val="es-ES"/>
              </w:rPr>
            </w:pPr>
            <w:r w:rsidRPr="0026522F">
              <w:rPr>
                <w:rFonts w:ascii="Arial" w:hAnsi="Arial" w:cs="Arial"/>
                <w:sz w:val="21"/>
                <w:szCs w:val="21"/>
                <w:shd w:val="clear" w:color="auto" w:fill="FFFFFF"/>
                <w:lang w:val="es-ES"/>
              </w:rPr>
              <w:t xml:space="preserve">Van </w:t>
            </w:r>
            <w:proofErr w:type="spellStart"/>
            <w:r w:rsidRPr="0026522F">
              <w:rPr>
                <w:rFonts w:ascii="Arial" w:hAnsi="Arial" w:cs="Arial"/>
                <w:sz w:val="21"/>
                <w:szCs w:val="21"/>
                <w:shd w:val="clear" w:color="auto" w:fill="FFFFFF"/>
                <w:lang w:val="es-ES"/>
              </w:rPr>
              <w:t>Nostrand</w:t>
            </w:r>
            <w:proofErr w:type="spellEnd"/>
            <w:r w:rsidRPr="0026522F">
              <w:rPr>
                <w:rFonts w:ascii="Arial" w:hAnsi="Arial" w:cs="Arial"/>
                <w:sz w:val="21"/>
                <w:szCs w:val="21"/>
                <w:shd w:val="clear" w:color="auto" w:fill="FFFFFF"/>
                <w:lang w:val="es-ES"/>
              </w:rPr>
              <w:t xml:space="preserve"> </w:t>
            </w:r>
            <w:proofErr w:type="spellStart"/>
            <w:r w:rsidRPr="0026522F">
              <w:rPr>
                <w:rFonts w:ascii="Arial" w:hAnsi="Arial" w:cs="Arial"/>
                <w:sz w:val="21"/>
                <w:szCs w:val="21"/>
                <w:shd w:val="clear" w:color="auto" w:fill="FFFFFF"/>
                <w:lang w:val="es-ES"/>
              </w:rPr>
              <w:t>Reinhord</w:t>
            </w:r>
            <w:proofErr w:type="spellEnd"/>
            <w:r w:rsidRPr="0026522F">
              <w:rPr>
                <w:lang w:val="es-ES"/>
              </w:rPr>
              <w:t xml:space="preserve"> </w:t>
            </w:r>
          </w:p>
        </w:tc>
        <w:tc>
          <w:tcPr>
            <w:tcW w:w="1766" w:type="dxa"/>
            <w:gridSpan w:val="2"/>
          </w:tcPr>
          <w:p w14:paraId="4DDBEF00" w14:textId="77777777" w:rsidR="0050755A" w:rsidRPr="0026522F" w:rsidRDefault="0050755A">
            <w:pPr>
              <w:contextualSpacing/>
              <w:rPr>
                <w:rFonts w:ascii="Arial" w:hAnsi="Arial" w:cs="Arial"/>
                <w:sz w:val="22"/>
                <w:szCs w:val="22"/>
                <w:lang w:val="es-ES"/>
              </w:rPr>
            </w:pPr>
          </w:p>
        </w:tc>
        <w:tc>
          <w:tcPr>
            <w:tcW w:w="1766" w:type="dxa"/>
          </w:tcPr>
          <w:p w14:paraId="4B54D3CD" w14:textId="77777777" w:rsidR="0050755A" w:rsidRPr="0026522F" w:rsidRDefault="0026522F" w:rsidP="0026522F">
            <w:pPr>
              <w:contextualSpacing/>
              <w:rPr>
                <w:rFonts w:ascii="Arial" w:hAnsi="Arial" w:cs="Arial"/>
                <w:sz w:val="22"/>
                <w:szCs w:val="22"/>
                <w:lang w:val="es-ES"/>
              </w:rPr>
            </w:pPr>
            <w:r w:rsidRPr="0026522F">
              <w:rPr>
                <w:rFonts w:ascii="Arial" w:hAnsi="Arial" w:cs="Arial"/>
                <w:sz w:val="21"/>
                <w:szCs w:val="21"/>
                <w:shd w:val="clear" w:color="auto" w:fill="FFFFFF"/>
                <w:lang w:val="es-ES"/>
              </w:rPr>
              <w:t>1992</w:t>
            </w:r>
          </w:p>
        </w:tc>
      </w:tr>
      <w:tr w:rsidR="0026522F" w:rsidRPr="0026522F" w14:paraId="121AB011" w14:textId="77777777" w:rsidTr="6CE85171">
        <w:tc>
          <w:tcPr>
            <w:tcW w:w="1765" w:type="dxa"/>
          </w:tcPr>
          <w:p w14:paraId="04947C1E" w14:textId="77777777" w:rsidR="0026522F" w:rsidRPr="0026522F" w:rsidRDefault="0026522F" w:rsidP="0026522F">
            <w:pPr>
              <w:contextualSpacing/>
              <w:rPr>
                <w:rFonts w:ascii="Arial" w:hAnsi="Arial" w:cs="Arial"/>
                <w:sz w:val="21"/>
                <w:szCs w:val="21"/>
                <w:shd w:val="clear" w:color="auto" w:fill="FFFFFF"/>
                <w:lang w:val="en-US"/>
              </w:rPr>
            </w:pPr>
            <w:r w:rsidRPr="0026522F">
              <w:rPr>
                <w:rFonts w:ascii="Arial" w:hAnsi="Arial" w:cs="Arial"/>
                <w:sz w:val="21"/>
                <w:szCs w:val="21"/>
                <w:shd w:val="clear" w:color="auto" w:fill="FFFFFF"/>
                <w:lang w:val="en-US"/>
              </w:rPr>
              <w:t xml:space="preserve">Stone, H, </w:t>
            </w:r>
            <w:proofErr w:type="gramStart"/>
            <w:r w:rsidRPr="0026522F">
              <w:rPr>
                <w:rFonts w:ascii="Arial" w:hAnsi="Arial" w:cs="Arial"/>
                <w:sz w:val="21"/>
                <w:szCs w:val="21"/>
                <w:shd w:val="clear" w:color="auto" w:fill="FFFFFF"/>
                <w:lang w:val="en-US"/>
              </w:rPr>
              <w:t>and,</w:t>
            </w:r>
            <w:proofErr w:type="gramEnd"/>
            <w:r w:rsidRPr="0026522F">
              <w:rPr>
                <w:rFonts w:ascii="Arial" w:hAnsi="Arial" w:cs="Arial"/>
                <w:sz w:val="21"/>
                <w:szCs w:val="21"/>
                <w:shd w:val="clear" w:color="auto" w:fill="FFFFFF"/>
                <w:lang w:val="en-US"/>
              </w:rPr>
              <w:t xml:space="preserve"> </w:t>
            </w:r>
            <w:proofErr w:type="spellStart"/>
            <w:r w:rsidRPr="0026522F">
              <w:rPr>
                <w:rFonts w:ascii="Arial" w:hAnsi="Arial" w:cs="Arial"/>
                <w:sz w:val="21"/>
                <w:szCs w:val="21"/>
                <w:shd w:val="clear" w:color="auto" w:fill="FFFFFF"/>
                <w:lang w:val="en-US"/>
              </w:rPr>
              <w:t>Sidel</w:t>
            </w:r>
            <w:proofErr w:type="spellEnd"/>
            <w:r w:rsidRPr="0026522F">
              <w:rPr>
                <w:rFonts w:ascii="Arial" w:hAnsi="Arial" w:cs="Arial"/>
                <w:sz w:val="21"/>
                <w:szCs w:val="21"/>
                <w:shd w:val="clear" w:color="auto" w:fill="FFFFFF"/>
                <w:lang w:val="en-US"/>
              </w:rPr>
              <w:t xml:space="preserve">, J.L. </w:t>
            </w:r>
          </w:p>
        </w:tc>
        <w:tc>
          <w:tcPr>
            <w:tcW w:w="1765" w:type="dxa"/>
          </w:tcPr>
          <w:p w14:paraId="5DDC5F32" w14:textId="77777777" w:rsidR="0026522F" w:rsidRPr="0026522F" w:rsidRDefault="0026522F" w:rsidP="0026522F">
            <w:pPr>
              <w:contextualSpacing/>
              <w:rPr>
                <w:rFonts w:ascii="Arial" w:hAnsi="Arial" w:cs="Arial"/>
                <w:sz w:val="21"/>
                <w:szCs w:val="21"/>
                <w:shd w:val="clear" w:color="auto" w:fill="FFFFFF"/>
                <w:lang w:val="en-US"/>
              </w:rPr>
            </w:pPr>
            <w:r w:rsidRPr="0026522F">
              <w:rPr>
                <w:rFonts w:ascii="Arial" w:hAnsi="Arial" w:cs="Arial"/>
                <w:sz w:val="21"/>
                <w:szCs w:val="21"/>
                <w:shd w:val="clear" w:color="auto" w:fill="FFFFFF"/>
                <w:lang w:val="en-US"/>
              </w:rPr>
              <w:t>Sensory evaluation practices.</w:t>
            </w:r>
          </w:p>
        </w:tc>
        <w:tc>
          <w:tcPr>
            <w:tcW w:w="1766" w:type="dxa"/>
          </w:tcPr>
          <w:p w14:paraId="3088AD84" w14:textId="77777777" w:rsidR="0026522F" w:rsidRPr="0026522F" w:rsidRDefault="0026522F" w:rsidP="0026522F">
            <w:pPr>
              <w:contextualSpacing/>
              <w:rPr>
                <w:rFonts w:ascii="Arial" w:hAnsi="Arial" w:cs="Arial"/>
                <w:sz w:val="21"/>
                <w:szCs w:val="21"/>
                <w:shd w:val="clear" w:color="auto" w:fill="FFFFFF"/>
                <w:lang w:val="en-US"/>
              </w:rPr>
            </w:pPr>
            <w:r w:rsidRPr="0026522F">
              <w:rPr>
                <w:rFonts w:ascii="Arial" w:hAnsi="Arial" w:cs="Arial"/>
                <w:sz w:val="21"/>
                <w:szCs w:val="21"/>
                <w:shd w:val="clear" w:color="auto" w:fill="FFFFFF"/>
                <w:lang w:val="en-US"/>
              </w:rPr>
              <w:t>Academic Press</w:t>
            </w:r>
          </w:p>
        </w:tc>
        <w:tc>
          <w:tcPr>
            <w:tcW w:w="1766" w:type="dxa"/>
            <w:gridSpan w:val="2"/>
          </w:tcPr>
          <w:p w14:paraId="3461D779" w14:textId="77777777" w:rsidR="0026522F" w:rsidRPr="0026522F" w:rsidRDefault="0026522F">
            <w:pPr>
              <w:contextualSpacing/>
              <w:rPr>
                <w:rFonts w:ascii="Arial" w:hAnsi="Arial" w:cs="Arial"/>
                <w:sz w:val="22"/>
                <w:szCs w:val="22"/>
                <w:lang w:val="en-US"/>
              </w:rPr>
            </w:pPr>
          </w:p>
        </w:tc>
        <w:tc>
          <w:tcPr>
            <w:tcW w:w="1766" w:type="dxa"/>
          </w:tcPr>
          <w:p w14:paraId="566AFB47" w14:textId="77777777" w:rsidR="0026522F" w:rsidRPr="0026522F" w:rsidRDefault="0026522F" w:rsidP="0026522F">
            <w:pPr>
              <w:contextualSpacing/>
              <w:rPr>
                <w:rFonts w:ascii="Arial" w:hAnsi="Arial" w:cs="Arial"/>
                <w:sz w:val="21"/>
                <w:szCs w:val="21"/>
                <w:shd w:val="clear" w:color="auto" w:fill="FFFFFF"/>
                <w:lang w:val="en-US"/>
              </w:rPr>
            </w:pPr>
            <w:r w:rsidRPr="0026522F">
              <w:rPr>
                <w:rFonts w:ascii="Arial" w:hAnsi="Arial" w:cs="Arial"/>
                <w:sz w:val="21"/>
                <w:szCs w:val="21"/>
                <w:shd w:val="clear" w:color="auto" w:fill="FFFFFF"/>
                <w:lang w:val="en-US"/>
              </w:rPr>
              <w:t>1992</w:t>
            </w:r>
          </w:p>
        </w:tc>
      </w:tr>
      <w:tr w:rsidR="00C079D2" w:rsidRPr="00C079D2" w14:paraId="5877F0AF" w14:textId="77777777" w:rsidTr="6CE85171">
        <w:tc>
          <w:tcPr>
            <w:tcW w:w="8828" w:type="dxa"/>
            <w:gridSpan w:val="6"/>
            <w:shd w:val="clear" w:color="auto" w:fill="44546A" w:themeFill="text2"/>
          </w:tcPr>
          <w:p w14:paraId="5FEB8C1E"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PERFIL ACADÉMICO DESEABLE DEL RESPONSABLE DE LA ASIGNATURA</w:t>
            </w:r>
          </w:p>
        </w:tc>
      </w:tr>
      <w:tr w:rsidR="00C079D2" w:rsidRPr="00C079D2" w14:paraId="73C83612" w14:textId="77777777" w:rsidTr="6CE85171">
        <w:tc>
          <w:tcPr>
            <w:tcW w:w="8828" w:type="dxa"/>
            <w:gridSpan w:val="6"/>
          </w:tcPr>
          <w:p w14:paraId="69F7EF64" w14:textId="77777777" w:rsidR="00C079D2" w:rsidRPr="00C079D2" w:rsidRDefault="0026522F">
            <w:pPr>
              <w:contextualSpacing/>
              <w:rPr>
                <w:rFonts w:ascii="Arial" w:hAnsi="Arial" w:cs="Arial"/>
                <w:i/>
                <w:iCs/>
                <w:sz w:val="22"/>
                <w:szCs w:val="22"/>
              </w:rPr>
            </w:pPr>
            <w:r w:rsidRPr="0026522F">
              <w:rPr>
                <w:rFonts w:ascii="Arial" w:hAnsi="Arial" w:cs="Arial"/>
                <w:sz w:val="21"/>
                <w:szCs w:val="21"/>
                <w:shd w:val="clear" w:color="auto" w:fill="FFFFFF"/>
              </w:rPr>
              <w:t>Profesor con un grado de Doctor en Ciencias, con experiencia en docencia e investigación en áreas relacionadas con evaluación sensorial de alimentos y los temas afines a la asignatura.</w:t>
            </w:r>
          </w:p>
        </w:tc>
      </w:tr>
      <w:tr w:rsidR="00C079D2" w:rsidRPr="00C079D2" w14:paraId="65DAD72E" w14:textId="77777777" w:rsidTr="6CE85171">
        <w:tc>
          <w:tcPr>
            <w:tcW w:w="8828" w:type="dxa"/>
            <w:gridSpan w:val="6"/>
            <w:shd w:val="clear" w:color="auto" w:fill="44546A" w:themeFill="text2"/>
          </w:tcPr>
          <w:p w14:paraId="5371ACA4" w14:textId="77777777" w:rsidR="00C079D2" w:rsidRPr="00C079D2" w:rsidRDefault="00C079D2">
            <w:pPr>
              <w:contextualSpacing/>
              <w:rPr>
                <w:rFonts w:ascii="Arial" w:hAnsi="Arial" w:cs="Arial"/>
                <w:sz w:val="22"/>
                <w:szCs w:val="22"/>
              </w:rPr>
            </w:pPr>
            <w:r w:rsidRPr="00C079D2">
              <w:rPr>
                <w:rFonts w:ascii="Arial" w:hAnsi="Arial" w:cs="Arial"/>
                <w:color w:val="FFFFFF" w:themeColor="background1"/>
                <w:sz w:val="22"/>
                <w:szCs w:val="22"/>
              </w:rPr>
              <w:t>NOMBRE Y FIRMA DE QUIEN DISEÑÓ CARTA DESCRIPTIVA</w:t>
            </w:r>
          </w:p>
        </w:tc>
      </w:tr>
      <w:tr w:rsidR="00C079D2" w:rsidRPr="00C079D2" w14:paraId="6552D171" w14:textId="77777777" w:rsidTr="6CE85171">
        <w:tc>
          <w:tcPr>
            <w:tcW w:w="8828" w:type="dxa"/>
            <w:gridSpan w:val="6"/>
          </w:tcPr>
          <w:p w14:paraId="37F9FC0C" w14:textId="08B2325F" w:rsidR="00C079D2" w:rsidRPr="00C079D2" w:rsidRDefault="0026522F">
            <w:pPr>
              <w:contextualSpacing/>
              <w:rPr>
                <w:rFonts w:ascii="Arial" w:hAnsi="Arial" w:cs="Arial"/>
                <w:sz w:val="22"/>
                <w:szCs w:val="22"/>
              </w:rPr>
            </w:pPr>
            <w:r w:rsidRPr="4D52870A">
              <w:rPr>
                <w:rFonts w:ascii="Arial" w:hAnsi="Arial" w:cs="Arial"/>
                <w:sz w:val="22"/>
                <w:szCs w:val="22"/>
              </w:rPr>
              <w:t xml:space="preserve"> </w:t>
            </w:r>
            <w:r w:rsidR="3B616758" w:rsidRPr="4D52870A">
              <w:rPr>
                <w:rFonts w:ascii="Arial" w:hAnsi="Arial" w:cs="Arial"/>
                <w:sz w:val="22"/>
                <w:szCs w:val="22"/>
              </w:rPr>
              <w:t xml:space="preserve">Dra. </w:t>
            </w:r>
            <w:r w:rsidRPr="4D52870A">
              <w:rPr>
                <w:rFonts w:ascii="Arial" w:hAnsi="Arial" w:cs="Arial"/>
                <w:sz w:val="22"/>
                <w:szCs w:val="22"/>
              </w:rPr>
              <w:t>Reyna Luz Vidal Quintanar (</w:t>
            </w:r>
            <w:r w:rsidR="7EE942E5" w:rsidRPr="4D52870A">
              <w:rPr>
                <w:rFonts w:ascii="Arial" w:hAnsi="Arial" w:cs="Arial"/>
                <w:sz w:val="22"/>
                <w:szCs w:val="22"/>
              </w:rPr>
              <w:t xml:space="preserve">transcrito por Dr. </w:t>
            </w:r>
            <w:r w:rsidR="0050755A" w:rsidRPr="4D52870A">
              <w:rPr>
                <w:rFonts w:ascii="Arial" w:hAnsi="Arial" w:cs="Arial"/>
                <w:sz w:val="22"/>
                <w:szCs w:val="22"/>
              </w:rPr>
              <w:t>José Luis Cárdenas López</w:t>
            </w:r>
            <w:r w:rsidRPr="4D52870A">
              <w:rPr>
                <w:rFonts w:ascii="Arial" w:hAnsi="Arial" w:cs="Arial"/>
                <w:sz w:val="22"/>
                <w:szCs w:val="22"/>
              </w:rPr>
              <w:t>)</w:t>
            </w:r>
          </w:p>
        </w:tc>
      </w:tr>
    </w:tbl>
    <w:p w14:paraId="3CF2D8B6" w14:textId="77777777" w:rsidR="0042386C" w:rsidRDefault="0042386C"/>
    <w:sectPr w:rsidR="0042386C"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D32"/>
    <w:multiLevelType w:val="multilevel"/>
    <w:tmpl w:val="E67A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E4BB3"/>
    <w:multiLevelType w:val="multilevel"/>
    <w:tmpl w:val="A12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16268"/>
    <w:multiLevelType w:val="multilevel"/>
    <w:tmpl w:val="DD70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77695"/>
    <w:multiLevelType w:val="multilevel"/>
    <w:tmpl w:val="1E0A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932E9"/>
    <w:multiLevelType w:val="hybridMultilevel"/>
    <w:tmpl w:val="F13421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F73791A"/>
    <w:multiLevelType w:val="multilevel"/>
    <w:tmpl w:val="367E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6644F"/>
    <w:multiLevelType w:val="multilevel"/>
    <w:tmpl w:val="1304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12548C"/>
    <w:multiLevelType w:val="hybridMultilevel"/>
    <w:tmpl w:val="6166172E"/>
    <w:lvl w:ilvl="0" w:tplc="3A203ACA">
      <w:start w:val="1"/>
      <w:numFmt w:val="bullet"/>
      <w:lvlText w:val=""/>
      <w:lvlJc w:val="left"/>
      <w:pPr>
        <w:tabs>
          <w:tab w:val="num" w:pos="720"/>
        </w:tabs>
        <w:ind w:left="720" w:hanging="360"/>
      </w:pPr>
      <w:rPr>
        <w:rFonts w:ascii="Symbol" w:hAnsi="Symbol" w:hint="default"/>
        <w:color w:val="auto"/>
      </w:rPr>
    </w:lvl>
    <w:lvl w:ilvl="1" w:tplc="3A203ACA">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1FC2B1E"/>
    <w:multiLevelType w:val="multilevel"/>
    <w:tmpl w:val="D28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31D00"/>
    <w:multiLevelType w:val="hybridMultilevel"/>
    <w:tmpl w:val="7C82F4B6"/>
    <w:lvl w:ilvl="0" w:tplc="3A203ACA">
      <w:start w:val="1"/>
      <w:numFmt w:val="bullet"/>
      <w:lvlText w:val=""/>
      <w:lvlJc w:val="left"/>
      <w:pPr>
        <w:tabs>
          <w:tab w:val="num" w:pos="360"/>
        </w:tabs>
        <w:ind w:left="360" w:hanging="360"/>
      </w:pPr>
      <w:rPr>
        <w:rFonts w:ascii="Symbol" w:hAnsi="Symbol" w:hint="default"/>
        <w:color w:val="auto"/>
      </w:rPr>
    </w:lvl>
    <w:lvl w:ilvl="1" w:tplc="3A203ACA">
      <w:start w:val="1"/>
      <w:numFmt w:val="bullet"/>
      <w:lvlText w:val=""/>
      <w:lvlJc w:val="left"/>
      <w:pPr>
        <w:tabs>
          <w:tab w:val="num" w:pos="1080"/>
        </w:tabs>
        <w:ind w:left="1080" w:hanging="360"/>
      </w:pPr>
      <w:rPr>
        <w:rFonts w:ascii="Symbol" w:hAnsi="Symbol" w:hint="default"/>
        <w:color w:val="auto"/>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433F0149"/>
    <w:multiLevelType w:val="hybridMultilevel"/>
    <w:tmpl w:val="F74CBDF2"/>
    <w:lvl w:ilvl="0" w:tplc="3A203AC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9190B3A"/>
    <w:multiLevelType w:val="multilevel"/>
    <w:tmpl w:val="BF6A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96D72"/>
    <w:multiLevelType w:val="hybridMultilevel"/>
    <w:tmpl w:val="C12C6E92"/>
    <w:lvl w:ilvl="0" w:tplc="0C0A000F">
      <w:start w:val="1"/>
      <w:numFmt w:val="decimal"/>
      <w:lvlText w:val="%1."/>
      <w:lvlJc w:val="left"/>
      <w:pPr>
        <w:tabs>
          <w:tab w:val="num" w:pos="360"/>
        </w:tabs>
        <w:ind w:left="360" w:hanging="360"/>
      </w:pPr>
    </w:lvl>
    <w:lvl w:ilvl="1" w:tplc="3A203ACA">
      <w:start w:val="1"/>
      <w:numFmt w:val="bullet"/>
      <w:lvlText w:val=""/>
      <w:lvlJc w:val="left"/>
      <w:pPr>
        <w:tabs>
          <w:tab w:val="num" w:pos="1080"/>
        </w:tabs>
        <w:ind w:left="1080" w:hanging="360"/>
      </w:pPr>
      <w:rPr>
        <w:rFonts w:ascii="Symbol" w:hAnsi="Symbol" w:hint="default"/>
        <w:color w:val="auto"/>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4A71281C"/>
    <w:multiLevelType w:val="hybridMultilevel"/>
    <w:tmpl w:val="F98E5024"/>
    <w:lvl w:ilvl="0" w:tplc="3A203AC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C801C53"/>
    <w:multiLevelType w:val="hybridMultilevel"/>
    <w:tmpl w:val="A746A5A8"/>
    <w:lvl w:ilvl="0" w:tplc="4716A1A0">
      <w:start w:val="1"/>
      <w:numFmt w:val="bullet"/>
      <w:lvlText w:val=""/>
      <w:lvlJc w:val="left"/>
      <w:pPr>
        <w:tabs>
          <w:tab w:val="num" w:pos="288"/>
        </w:tabs>
        <w:ind w:left="288" w:hanging="288"/>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70465"/>
    <w:multiLevelType w:val="multilevel"/>
    <w:tmpl w:val="7C48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A2202"/>
    <w:multiLevelType w:val="hybridMultilevel"/>
    <w:tmpl w:val="BDB2D59E"/>
    <w:lvl w:ilvl="0" w:tplc="3A203AC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2523AA4"/>
    <w:multiLevelType w:val="hybridMultilevel"/>
    <w:tmpl w:val="C69271CA"/>
    <w:lvl w:ilvl="0" w:tplc="3A203AC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6504DEE"/>
    <w:multiLevelType w:val="hybridMultilevel"/>
    <w:tmpl w:val="D854C066"/>
    <w:lvl w:ilvl="0" w:tplc="3A203AC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7DD59FF"/>
    <w:multiLevelType w:val="multilevel"/>
    <w:tmpl w:val="AB2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1F460D"/>
    <w:multiLevelType w:val="hybridMultilevel"/>
    <w:tmpl w:val="83805734"/>
    <w:lvl w:ilvl="0" w:tplc="4716A1A0">
      <w:start w:val="1"/>
      <w:numFmt w:val="bullet"/>
      <w:lvlText w:val=""/>
      <w:lvlJc w:val="left"/>
      <w:pPr>
        <w:tabs>
          <w:tab w:val="num" w:pos="288"/>
        </w:tabs>
        <w:ind w:left="288" w:hanging="288"/>
      </w:pPr>
      <w:rPr>
        <w:rFonts w:ascii="Symbol" w:hAnsi="Symbol" w:hint="default"/>
      </w:rPr>
    </w:lvl>
    <w:lvl w:ilvl="1" w:tplc="7A849034">
      <w:start w:val="1"/>
      <w:numFmt w:val="decimal"/>
      <w:lvlText w:val="%2."/>
      <w:lvlJc w:val="left"/>
      <w:pPr>
        <w:tabs>
          <w:tab w:val="num" w:pos="288"/>
        </w:tabs>
        <w:ind w:left="288" w:hanging="288"/>
      </w:pPr>
      <w:rPr>
        <w:rFonts w:hint="default"/>
      </w:rPr>
    </w:lvl>
    <w:lvl w:ilvl="2" w:tplc="3A203ACA">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906157"/>
    <w:multiLevelType w:val="hybridMultilevel"/>
    <w:tmpl w:val="12386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12874543">
    <w:abstractNumId w:val="14"/>
  </w:num>
  <w:num w:numId="2" w16cid:durableId="22675629">
    <w:abstractNumId w:val="12"/>
  </w:num>
  <w:num w:numId="3" w16cid:durableId="1757047608">
    <w:abstractNumId w:val="7"/>
  </w:num>
  <w:num w:numId="4" w16cid:durableId="904992252">
    <w:abstractNumId w:val="10"/>
  </w:num>
  <w:num w:numId="5" w16cid:durableId="1263146546">
    <w:abstractNumId w:val="13"/>
  </w:num>
  <w:num w:numId="6" w16cid:durableId="1119031313">
    <w:abstractNumId w:val="17"/>
  </w:num>
  <w:num w:numId="7" w16cid:durableId="1340080712">
    <w:abstractNumId w:val="18"/>
  </w:num>
  <w:num w:numId="8" w16cid:durableId="603731172">
    <w:abstractNumId w:val="16"/>
  </w:num>
  <w:num w:numId="9" w16cid:durableId="1470629898">
    <w:abstractNumId w:val="21"/>
  </w:num>
  <w:num w:numId="10" w16cid:durableId="260379924">
    <w:abstractNumId w:val="20"/>
  </w:num>
  <w:num w:numId="11" w16cid:durableId="239213022">
    <w:abstractNumId w:val="9"/>
  </w:num>
  <w:num w:numId="12" w16cid:durableId="488327768">
    <w:abstractNumId w:val="4"/>
  </w:num>
  <w:num w:numId="13" w16cid:durableId="1323465578">
    <w:abstractNumId w:val="8"/>
  </w:num>
  <w:num w:numId="14" w16cid:durableId="476458034">
    <w:abstractNumId w:val="2"/>
  </w:num>
  <w:num w:numId="15" w16cid:durableId="1242564493">
    <w:abstractNumId w:val="15"/>
  </w:num>
  <w:num w:numId="16" w16cid:durableId="493031313">
    <w:abstractNumId w:val="11"/>
  </w:num>
  <w:num w:numId="17" w16cid:durableId="2074573330">
    <w:abstractNumId w:val="3"/>
  </w:num>
  <w:num w:numId="18" w16cid:durableId="1370497983">
    <w:abstractNumId w:val="6"/>
  </w:num>
  <w:num w:numId="19" w16cid:durableId="2054229673">
    <w:abstractNumId w:val="0"/>
  </w:num>
  <w:num w:numId="20" w16cid:durableId="980421493">
    <w:abstractNumId w:val="19"/>
  </w:num>
  <w:num w:numId="21" w16cid:durableId="853226581">
    <w:abstractNumId w:val="5"/>
  </w:num>
  <w:num w:numId="22" w16cid:durableId="204099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D0"/>
    <w:rsid w:val="00094256"/>
    <w:rsid w:val="000E47A6"/>
    <w:rsid w:val="000E633B"/>
    <w:rsid w:val="00130DD0"/>
    <w:rsid w:val="0026522F"/>
    <w:rsid w:val="0042386C"/>
    <w:rsid w:val="004A5DE8"/>
    <w:rsid w:val="004D3C98"/>
    <w:rsid w:val="0050755A"/>
    <w:rsid w:val="0056383A"/>
    <w:rsid w:val="00676360"/>
    <w:rsid w:val="006D0374"/>
    <w:rsid w:val="009B39BE"/>
    <w:rsid w:val="009D5344"/>
    <w:rsid w:val="00A91C1E"/>
    <w:rsid w:val="00AB1B87"/>
    <w:rsid w:val="00C079D2"/>
    <w:rsid w:val="00FC6DE7"/>
    <w:rsid w:val="06A4D9DF"/>
    <w:rsid w:val="1BBDCF4E"/>
    <w:rsid w:val="2A89CFA6"/>
    <w:rsid w:val="34780EBB"/>
    <w:rsid w:val="3B616758"/>
    <w:rsid w:val="47B3A4DB"/>
    <w:rsid w:val="4C9582A7"/>
    <w:rsid w:val="4D52870A"/>
    <w:rsid w:val="5C0817B6"/>
    <w:rsid w:val="62050C45"/>
    <w:rsid w:val="65EB7534"/>
    <w:rsid w:val="69066093"/>
    <w:rsid w:val="6CE85171"/>
    <w:rsid w:val="7EE942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5E77"/>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paragraph" w:customStyle="1" w:styleId="Default">
    <w:name w:val="Default"/>
    <w:rsid w:val="009D5344"/>
    <w:pPr>
      <w:autoSpaceDE w:val="0"/>
      <w:autoSpaceDN w:val="0"/>
      <w:adjustRightInd w:val="0"/>
    </w:pPr>
    <w:rPr>
      <w:rFonts w:ascii="Arial" w:hAnsi="Arial" w:cs="Arial"/>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784">
      <w:bodyDiv w:val="1"/>
      <w:marLeft w:val="0"/>
      <w:marRight w:val="0"/>
      <w:marTop w:val="0"/>
      <w:marBottom w:val="0"/>
      <w:divBdr>
        <w:top w:val="none" w:sz="0" w:space="0" w:color="auto"/>
        <w:left w:val="none" w:sz="0" w:space="0" w:color="auto"/>
        <w:bottom w:val="none" w:sz="0" w:space="0" w:color="auto"/>
        <w:right w:val="none" w:sz="0" w:space="0" w:color="auto"/>
      </w:divBdr>
    </w:div>
    <w:div w:id="264919451">
      <w:bodyDiv w:val="1"/>
      <w:marLeft w:val="0"/>
      <w:marRight w:val="0"/>
      <w:marTop w:val="0"/>
      <w:marBottom w:val="0"/>
      <w:divBdr>
        <w:top w:val="none" w:sz="0" w:space="0" w:color="auto"/>
        <w:left w:val="none" w:sz="0" w:space="0" w:color="auto"/>
        <w:bottom w:val="none" w:sz="0" w:space="0" w:color="auto"/>
        <w:right w:val="none" w:sz="0" w:space="0" w:color="auto"/>
      </w:divBdr>
    </w:div>
    <w:div w:id="461076619">
      <w:bodyDiv w:val="1"/>
      <w:marLeft w:val="0"/>
      <w:marRight w:val="0"/>
      <w:marTop w:val="0"/>
      <w:marBottom w:val="0"/>
      <w:divBdr>
        <w:top w:val="none" w:sz="0" w:space="0" w:color="auto"/>
        <w:left w:val="none" w:sz="0" w:space="0" w:color="auto"/>
        <w:bottom w:val="none" w:sz="0" w:space="0" w:color="auto"/>
        <w:right w:val="none" w:sz="0" w:space="0" w:color="auto"/>
      </w:divBdr>
    </w:div>
    <w:div w:id="723454486">
      <w:bodyDiv w:val="1"/>
      <w:marLeft w:val="0"/>
      <w:marRight w:val="0"/>
      <w:marTop w:val="0"/>
      <w:marBottom w:val="0"/>
      <w:divBdr>
        <w:top w:val="none" w:sz="0" w:space="0" w:color="auto"/>
        <w:left w:val="none" w:sz="0" w:space="0" w:color="auto"/>
        <w:bottom w:val="none" w:sz="0" w:space="0" w:color="auto"/>
        <w:right w:val="none" w:sz="0" w:space="0" w:color="auto"/>
      </w:divBdr>
    </w:div>
    <w:div w:id="1518694288">
      <w:bodyDiv w:val="1"/>
      <w:marLeft w:val="0"/>
      <w:marRight w:val="0"/>
      <w:marTop w:val="0"/>
      <w:marBottom w:val="0"/>
      <w:divBdr>
        <w:top w:val="none" w:sz="0" w:space="0" w:color="auto"/>
        <w:left w:val="none" w:sz="0" w:space="0" w:color="auto"/>
        <w:bottom w:val="none" w:sz="0" w:space="0" w:color="auto"/>
        <w:right w:val="none" w:sz="0" w:space="0" w:color="auto"/>
      </w:divBdr>
    </w:div>
    <w:div w:id="1594893353">
      <w:bodyDiv w:val="1"/>
      <w:marLeft w:val="0"/>
      <w:marRight w:val="0"/>
      <w:marTop w:val="0"/>
      <w:marBottom w:val="0"/>
      <w:divBdr>
        <w:top w:val="none" w:sz="0" w:space="0" w:color="auto"/>
        <w:left w:val="none" w:sz="0" w:space="0" w:color="auto"/>
        <w:bottom w:val="none" w:sz="0" w:space="0" w:color="auto"/>
        <w:right w:val="none" w:sz="0" w:space="0" w:color="auto"/>
      </w:divBdr>
    </w:div>
    <w:div w:id="1679766742">
      <w:bodyDiv w:val="1"/>
      <w:marLeft w:val="0"/>
      <w:marRight w:val="0"/>
      <w:marTop w:val="0"/>
      <w:marBottom w:val="0"/>
      <w:divBdr>
        <w:top w:val="none" w:sz="0" w:space="0" w:color="auto"/>
        <w:left w:val="none" w:sz="0" w:space="0" w:color="auto"/>
        <w:bottom w:val="none" w:sz="0" w:space="0" w:color="auto"/>
        <w:right w:val="none" w:sz="0" w:space="0" w:color="auto"/>
      </w:divBdr>
    </w:div>
    <w:div w:id="1799716838">
      <w:bodyDiv w:val="1"/>
      <w:marLeft w:val="0"/>
      <w:marRight w:val="0"/>
      <w:marTop w:val="0"/>
      <w:marBottom w:val="0"/>
      <w:divBdr>
        <w:top w:val="none" w:sz="0" w:space="0" w:color="auto"/>
        <w:left w:val="none" w:sz="0" w:space="0" w:color="auto"/>
        <w:bottom w:val="none" w:sz="0" w:space="0" w:color="auto"/>
        <w:right w:val="none" w:sz="0" w:space="0" w:color="auto"/>
      </w:divBdr>
    </w:div>
    <w:div w:id="1889337476">
      <w:bodyDiv w:val="1"/>
      <w:marLeft w:val="0"/>
      <w:marRight w:val="0"/>
      <w:marTop w:val="0"/>
      <w:marBottom w:val="0"/>
      <w:divBdr>
        <w:top w:val="none" w:sz="0" w:space="0" w:color="auto"/>
        <w:left w:val="none" w:sz="0" w:space="0" w:color="auto"/>
        <w:bottom w:val="none" w:sz="0" w:space="0" w:color="auto"/>
        <w:right w:val="none" w:sz="0" w:space="0" w:color="auto"/>
      </w:divBdr>
    </w:div>
    <w:div w:id="19799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1086</Words>
  <Characters>5979</Characters>
  <Application>Microsoft Office Word</Application>
  <DocSecurity>0</DocSecurity>
  <Lines>49</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8</cp:revision>
  <dcterms:created xsi:type="dcterms:W3CDTF">2020-11-20T18:23:00Z</dcterms:created>
  <dcterms:modified xsi:type="dcterms:W3CDTF">2023-10-04T16:28:00Z</dcterms:modified>
</cp:coreProperties>
</file>